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62" w:rsidRDefault="0069383F" w:rsidP="0069383F">
      <w:pPr>
        <w:jc w:val="left"/>
        <w:rPr>
          <w:rFonts w:ascii="Times New Roman" w:eastAsia="方正大黑简体" w:hAnsi="Times New Roman" w:cs="Times New Roman"/>
          <w:sz w:val="44"/>
          <w:szCs w:val="44"/>
        </w:rPr>
      </w:pPr>
      <w:r w:rsidRPr="0069383F">
        <w:rPr>
          <w:rFonts w:ascii="楷体_GB2312" w:eastAsia="楷体_GB2312" w:hAnsi="Times New Roman" w:cs="Times New Roman" w:hint="eastAsia"/>
          <w:sz w:val="36"/>
          <w:szCs w:val="36"/>
        </w:rPr>
        <w:t>附件1：</w:t>
      </w:r>
      <w:r>
        <w:rPr>
          <w:rFonts w:ascii="Times New Roman" w:eastAsia="方正大黑简体" w:hAnsi="Times New Roman" w:cs="Times New Roman" w:hint="eastAsia"/>
          <w:sz w:val="44"/>
          <w:szCs w:val="44"/>
        </w:rPr>
        <w:t xml:space="preserve">         </w:t>
      </w:r>
      <w:r w:rsidR="00A61392">
        <w:rPr>
          <w:rFonts w:ascii="Times New Roman" w:eastAsia="方正大黑简体" w:hAnsi="Times New Roman" w:cs="Times New Roman" w:hint="eastAsia"/>
          <w:sz w:val="44"/>
          <w:szCs w:val="44"/>
        </w:rPr>
        <w:t>学校</w:t>
      </w:r>
      <w:r w:rsidR="0077485E">
        <w:rPr>
          <w:rFonts w:ascii="Times New Roman" w:eastAsia="方正大黑简体" w:hAnsi="Times New Roman" w:cs="Times New Roman" w:hint="eastAsia"/>
          <w:sz w:val="44"/>
          <w:szCs w:val="44"/>
        </w:rPr>
        <w:t>《一流大学建设方案》</w:t>
      </w:r>
      <w:r w:rsidR="00D6794A">
        <w:rPr>
          <w:rFonts w:ascii="Times New Roman" w:eastAsia="方正大黑简体" w:hAnsi="Times New Roman" w:cs="Times New Roman"/>
          <w:sz w:val="44"/>
          <w:szCs w:val="44"/>
        </w:rPr>
        <w:t>建设任务</w:t>
      </w:r>
      <w:r w:rsidR="00D6794A">
        <w:rPr>
          <w:rFonts w:ascii="Times New Roman" w:eastAsia="方正大黑简体" w:hAnsi="Times New Roman" w:cs="Times New Roman" w:hint="eastAsia"/>
          <w:sz w:val="44"/>
          <w:szCs w:val="44"/>
        </w:rPr>
        <w:t>责任清单</w:t>
      </w:r>
    </w:p>
    <w:tbl>
      <w:tblPr>
        <w:tblStyle w:val="a5"/>
        <w:tblW w:w="14445" w:type="dxa"/>
        <w:jc w:val="center"/>
        <w:tblLayout w:type="fixed"/>
        <w:tblLook w:val="04A0"/>
      </w:tblPr>
      <w:tblGrid>
        <w:gridCol w:w="1647"/>
        <w:gridCol w:w="2400"/>
        <w:gridCol w:w="8507"/>
        <w:gridCol w:w="1891"/>
      </w:tblGrid>
      <w:tr w:rsidR="00777662">
        <w:trPr>
          <w:trHeight w:val="785"/>
          <w:tblHeader/>
          <w:jc w:val="center"/>
        </w:trPr>
        <w:tc>
          <w:tcPr>
            <w:tcW w:w="1647" w:type="dxa"/>
            <w:vAlign w:val="center"/>
          </w:tcPr>
          <w:p w:rsidR="00777662" w:rsidRDefault="00D6794A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建设任务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77662" w:rsidRDefault="0025257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建设要点</w:t>
            </w:r>
          </w:p>
        </w:tc>
        <w:tc>
          <w:tcPr>
            <w:tcW w:w="8507" w:type="dxa"/>
            <w:tcBorders>
              <w:bottom w:val="single" w:sz="4" w:space="0" w:color="auto"/>
            </w:tcBorders>
            <w:vAlign w:val="center"/>
          </w:tcPr>
          <w:p w:rsidR="00777662" w:rsidRDefault="0025257C" w:rsidP="0025257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1891" w:type="dxa"/>
            <w:vAlign w:val="center"/>
          </w:tcPr>
          <w:p w:rsidR="00777662" w:rsidRDefault="00D6794A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责任单位</w:t>
            </w:r>
          </w:p>
        </w:tc>
      </w:tr>
      <w:tr w:rsidR="00777662">
        <w:trPr>
          <w:trHeight w:val="1240"/>
          <w:jc w:val="center"/>
        </w:trPr>
        <w:tc>
          <w:tcPr>
            <w:tcW w:w="1647" w:type="dxa"/>
            <w:vMerge w:val="restart"/>
            <w:vAlign w:val="center"/>
          </w:tcPr>
          <w:p w:rsidR="00777662" w:rsidRDefault="00D6794A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一、建设一流师资队伍</w:t>
            </w:r>
          </w:p>
        </w:tc>
        <w:tc>
          <w:tcPr>
            <w:tcW w:w="2400" w:type="dxa"/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1.实施一流人才引进与培养计划</w:t>
            </w:r>
          </w:p>
        </w:tc>
        <w:tc>
          <w:tcPr>
            <w:tcW w:w="8507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（1）以学科群发展需求为重点，加强高端人才引进与培养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（2）以国家“四青”人才为重点，加强青年英才引进与培养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（3）实施优秀青年教师提升计划，加强青年后备人才队伍建设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777662" w:rsidRDefault="00D6794A" w:rsidP="00A72BD8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人才办</w:t>
            </w:r>
            <w:r w:rsidR="00A72BD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人事处</w:t>
            </w:r>
            <w:r w:rsidR="00EC5FF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、科研院</w:t>
            </w:r>
            <w:r w:rsidR="00A72BD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配合</w:t>
            </w:r>
          </w:p>
        </w:tc>
      </w:tr>
      <w:tr w:rsidR="003D1F3A" w:rsidTr="00CC0204">
        <w:trPr>
          <w:trHeight w:val="1777"/>
          <w:jc w:val="center"/>
        </w:trPr>
        <w:tc>
          <w:tcPr>
            <w:tcW w:w="1647" w:type="dxa"/>
            <w:vMerge/>
            <w:vAlign w:val="center"/>
          </w:tcPr>
          <w:p w:rsidR="003D1F3A" w:rsidRDefault="003D1F3A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3D1F3A" w:rsidRDefault="003D1F3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2.创新人才强学科的体制机制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3D1F3A" w:rsidRDefault="003D1F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（4）制定人才引进计划，建立精准引进机制</w:t>
            </w:r>
          </w:p>
          <w:p w:rsidR="003D1F3A" w:rsidRDefault="003D1F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（5）夯实学院和学科群在人才工作中的主体地位</w:t>
            </w:r>
          </w:p>
          <w:p w:rsidR="003D1F3A" w:rsidRPr="003D1F3A" w:rsidRDefault="003D1F3A" w:rsidP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（6）完善人才考核评价激励机制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3D1F3A" w:rsidRDefault="003D1F3A" w:rsidP="003D1F3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人才办牵头，人事处配合</w:t>
            </w:r>
          </w:p>
        </w:tc>
      </w:tr>
      <w:tr w:rsidR="003D1F3A" w:rsidTr="000C7E91">
        <w:trPr>
          <w:trHeight w:val="2094"/>
          <w:jc w:val="center"/>
        </w:trPr>
        <w:tc>
          <w:tcPr>
            <w:tcW w:w="1647" w:type="dxa"/>
            <w:vMerge/>
            <w:vAlign w:val="center"/>
          </w:tcPr>
          <w:p w:rsidR="003D1F3A" w:rsidRDefault="003D1F3A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3D1F3A" w:rsidRDefault="003D1F3A" w:rsidP="00ED053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3.营造人才成就事业的良好环境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3D1F3A" w:rsidRDefault="003D1F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）加强党委对人才工作的领导，健全党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管人才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工作格局</w:t>
            </w:r>
          </w:p>
          <w:p w:rsidR="003D1F3A" w:rsidRDefault="003D1F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）落实校院两级服务人才的主体责任</w:t>
            </w:r>
          </w:p>
          <w:p w:rsidR="003D1F3A" w:rsidRDefault="003D1F3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）搭建人才学术交流和合作平台</w:t>
            </w:r>
          </w:p>
          <w:p w:rsidR="003D1F3A" w:rsidRDefault="003D1F3A" w:rsidP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）构建有利于人才成长和成就事业的制度环境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3D1F3A" w:rsidRDefault="003D1F3A" w:rsidP="001D60FE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人才办牵头，人事处、科研院配合</w:t>
            </w:r>
          </w:p>
        </w:tc>
      </w:tr>
      <w:tr w:rsidR="00777662">
        <w:trPr>
          <w:trHeight w:hRule="exact" w:val="2598"/>
          <w:jc w:val="center"/>
        </w:trPr>
        <w:tc>
          <w:tcPr>
            <w:tcW w:w="1647" w:type="dxa"/>
            <w:vMerge w:val="restart"/>
            <w:vAlign w:val="center"/>
          </w:tcPr>
          <w:p w:rsidR="00777662" w:rsidRDefault="00D6794A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二、拔尖创新人才培养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4.深入推进拔尖创新人才培养模式改革</w:t>
            </w:r>
          </w:p>
        </w:tc>
        <w:tc>
          <w:tcPr>
            <w:tcW w:w="8507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）把思想政治工作贯穿到教育教学全过程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）完善思想政治理论课教学体系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）构建优秀传统文化通识教育课程体系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）精准推进“2+X”“1+2+X”等多元化创新人才培养模式改革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）构建学生自主学习、自主发展新机制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）启动“卓越成长项目”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）实施导学制，建立学生个性化“学习成长计划”</w:t>
            </w:r>
          </w:p>
          <w:p w:rsidR="00777662" w:rsidRDefault="00D6794A" w:rsidP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）完善弹性学制，试行弹性学期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777662" w:rsidRDefault="00D6794A" w:rsidP="00434A55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教务处牵头，</w:t>
            </w:r>
            <w:r w:rsidR="001D60F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宣传部、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学工部配合</w:t>
            </w:r>
          </w:p>
        </w:tc>
      </w:tr>
      <w:tr w:rsidR="00777662" w:rsidTr="007C039D">
        <w:trPr>
          <w:trHeight w:hRule="exact" w:val="1204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5.建设一流本科专业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Pr="001050A4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05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  <w:r w:rsidRPr="00105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）实施专业综合实力提升计划</w:t>
            </w:r>
            <w:r w:rsidR="00535CA9" w:rsidRPr="00105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，建设25个国内一流专业</w:t>
            </w:r>
          </w:p>
          <w:p w:rsidR="00777662" w:rsidRPr="00AE1384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05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</w:t>
            </w:r>
            <w:r w:rsidR="00E1751C"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 w:rsidR="00615950"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推进本科专业认证工作，</w:t>
            </w:r>
            <w:r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20-25个专业通过国际或</w:t>
            </w:r>
            <w:r w:rsidR="00615950"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行业</w:t>
            </w:r>
            <w:r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认证</w:t>
            </w:r>
          </w:p>
          <w:p w:rsidR="00777662" w:rsidRPr="00F96AC8" w:rsidRDefault="00D6794A" w:rsidP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</w:t>
            </w:r>
            <w:r w:rsidR="00E1751C"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）拓展专业内涵</w:t>
            </w:r>
            <w:r w:rsidR="00434A55"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，推进</w:t>
            </w:r>
            <w:r w:rsidR="00B11005"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高水平复合应用</w:t>
            </w:r>
            <w:r w:rsidR="00434A55" w:rsidRPr="00AE13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型人才培养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教务处</w:t>
            </w:r>
          </w:p>
        </w:tc>
      </w:tr>
      <w:tr w:rsidR="00777662">
        <w:trPr>
          <w:trHeight w:hRule="exact" w:val="1985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6.加强一流课堂建设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）实施优质课程建设计划，分类建设一流本科的优质课程资源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）加快国际化课程的引入和资源共享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）实施教学信息化提升工程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）完善教学设计与教案、教学研究制度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）实施教师教学能力提升计划</w:t>
            </w:r>
          </w:p>
          <w:p w:rsidR="00777662" w:rsidRDefault="00D6794A" w:rsidP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）完善课堂教学质量评价与反馈改进机制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 w:rsidP="00E75313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教务处牵头，</w:t>
            </w:r>
            <w:r w:rsidR="00E75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教发中心、</w:t>
            </w:r>
            <w:r w:rsidR="009A1EBF" w:rsidRPr="00253C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学工部、团委、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网教中心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等配合</w:t>
            </w:r>
          </w:p>
        </w:tc>
      </w:tr>
      <w:tr w:rsidR="00777662">
        <w:trPr>
          <w:trHeight w:hRule="exact" w:val="1276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7.建设开放型创新创业实践平台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）实施教学实验室标准化建设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）建设国家教学试验示范中心及虚拟仿真实验室</w:t>
            </w:r>
          </w:p>
          <w:p w:rsidR="00777662" w:rsidRDefault="00D6794A" w:rsidP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）建设一批资源共享、教学科研与产业紧密结合的创新实践教学基地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教务处牵头，科研院、推广处、场站中心等配合</w:t>
            </w:r>
          </w:p>
        </w:tc>
      </w:tr>
      <w:tr w:rsidR="00777662" w:rsidTr="007C039D">
        <w:trPr>
          <w:trHeight w:hRule="exact" w:val="1483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  <w:vAlign w:val="center"/>
          </w:tcPr>
          <w:p w:rsidR="00777662" w:rsidRDefault="00777662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）加强创新创业实践基地建设，打造全国大学生创业示范基地和创新创业教育人才培养示范基地</w:t>
            </w:r>
          </w:p>
          <w:p w:rsidR="00777662" w:rsidRDefault="00D6794A" w:rsidP="009A1EB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）发起成立全国</w:t>
            </w:r>
            <w:r w:rsidR="009A1EB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农林高校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大学生创新创业教育联盟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团委</w:t>
            </w:r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牵头，教务处、研究生院</w:t>
            </w:r>
            <w:r w:rsidR="007C039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、科研院、推广处、</w:t>
            </w:r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配合</w:t>
            </w:r>
          </w:p>
        </w:tc>
      </w:tr>
      <w:tr w:rsidR="00E1751C" w:rsidTr="00E1751C">
        <w:trPr>
          <w:trHeight w:val="1649"/>
          <w:jc w:val="center"/>
        </w:trPr>
        <w:tc>
          <w:tcPr>
            <w:tcW w:w="1647" w:type="dxa"/>
            <w:vMerge/>
            <w:vAlign w:val="center"/>
          </w:tcPr>
          <w:p w:rsidR="00E1751C" w:rsidRDefault="00E1751C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E1751C" w:rsidRDefault="00E1751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8.完善教学质量保障体系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E1751C" w:rsidRDefault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（33）加强教师思想政治教育和师德师风建设</w:t>
            </w:r>
          </w:p>
          <w:p w:rsidR="00E1751C" w:rsidRDefault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（34）制定专业人才培养质量标准</w:t>
            </w:r>
          </w:p>
          <w:p w:rsidR="00E1751C" w:rsidRDefault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（35）构建系统规范的本科教育教学质量评价体系</w:t>
            </w:r>
          </w:p>
          <w:p w:rsidR="00E1751C" w:rsidRPr="001D60FE" w:rsidRDefault="00E1751C" w:rsidP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（36）建立本科教学质量保障运行体系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E1751C" w:rsidRPr="001050A4" w:rsidRDefault="00E1751C" w:rsidP="007C63E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教务处牵头，教发中心、教师工作部配合</w:t>
            </w:r>
          </w:p>
        </w:tc>
      </w:tr>
      <w:tr w:rsidR="00777662">
        <w:trPr>
          <w:trHeight w:hRule="exact" w:val="1332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9.改革研究生招生选拔机制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）完善博士研究生招生申请-考核制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）创新本-硕-博贯通培养模式，加大硕博连读</w:t>
            </w:r>
            <w:r w:rsidR="00E07B6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转博选拔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力度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）启动优质生源工程，构建吸引优质生源的新机制</w:t>
            </w:r>
          </w:p>
          <w:p w:rsidR="00777662" w:rsidRDefault="00D6794A" w:rsidP="00E1751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</w:t>
            </w:r>
            <w:r w:rsidR="00E1751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）健全质量导向的研究生招生指标配置机制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研究生院</w:t>
            </w:r>
          </w:p>
        </w:tc>
      </w:tr>
      <w:tr w:rsidR="00777662">
        <w:trPr>
          <w:trHeight w:hRule="exact" w:val="2842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10.完善质量导向的研究生培养机制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</w:t>
            </w:r>
            <w:r w:rsidR="004E132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）按照一流学科建设的内涵与要求修订研究生培养方案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</w:t>
            </w:r>
            <w:r w:rsidR="004E132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）优化研究生课程结构，完善研究生课程体系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</w:t>
            </w:r>
            <w:r w:rsidR="004E132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）启动研究生课程及案例建设工程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</w:t>
            </w:r>
            <w:r w:rsidR="004E132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）完善研究生课程质量评价机制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</w:t>
            </w:r>
            <w:r w:rsidR="004E132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优化学位授权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点结构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与布局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（4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）建立学位授权点国际认证工作机制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47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）健全研究生学位授予标准</w:t>
            </w:r>
          </w:p>
          <w:p w:rsidR="00777662" w:rsidRDefault="00D6794A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48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）健全研究生培养分流淘汰管理机制</w:t>
            </w:r>
          </w:p>
          <w:p w:rsidR="00777662" w:rsidRDefault="00D6794A" w:rsidP="004E132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49</w:t>
            </w:r>
            <w:r w:rsidR="009A1EBF">
              <w:rPr>
                <w:rFonts w:ascii="仿宋_GB2312" w:eastAsia="仿宋_GB2312" w:hAnsi="仿宋_GB2312" w:cs="仿宋_GB2312" w:hint="eastAsia"/>
                <w:sz w:val="24"/>
              </w:rPr>
              <w:t>）强化研究生培养过程</w:t>
            </w:r>
            <w:r w:rsidR="009A1EBF" w:rsidRPr="00A61392">
              <w:rPr>
                <w:rFonts w:ascii="仿宋_GB2312" w:eastAsia="仿宋_GB2312" w:hAnsi="仿宋_GB2312" w:cs="仿宋_GB2312" w:hint="eastAsia"/>
                <w:sz w:val="24"/>
              </w:rPr>
              <w:t>评估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与监督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研究生院</w:t>
            </w:r>
          </w:p>
        </w:tc>
      </w:tr>
      <w:tr w:rsidR="00777662">
        <w:trPr>
          <w:trHeight w:hRule="exact" w:val="1140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11.提升研究生科技创新能力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）健全科学研究主导的学术型研究生培养模式</w:t>
            </w:r>
          </w:p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）完善创新创业主导的专业学位研究生培养模式</w:t>
            </w:r>
          </w:p>
          <w:p w:rsidR="00777662" w:rsidRDefault="00D6794A" w:rsidP="004E132F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）完善研究生国际化培养机制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研究生院</w:t>
            </w:r>
          </w:p>
        </w:tc>
      </w:tr>
      <w:tr w:rsidR="00777662">
        <w:trPr>
          <w:trHeight w:val="834"/>
          <w:jc w:val="center"/>
        </w:trPr>
        <w:tc>
          <w:tcPr>
            <w:tcW w:w="1647" w:type="dxa"/>
            <w:vMerge w:val="restart"/>
            <w:vAlign w:val="center"/>
          </w:tcPr>
          <w:p w:rsidR="00777662" w:rsidRDefault="00D6794A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三、提升科学研究水平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12.打造一批凸显优势和特色的研究高地</w:t>
            </w:r>
          </w:p>
        </w:tc>
        <w:tc>
          <w:tcPr>
            <w:tcW w:w="8507" w:type="dxa"/>
            <w:tcBorders>
              <w:bottom w:val="single" w:sz="4" w:space="0" w:color="auto"/>
            </w:tcBorders>
            <w:vAlign w:val="center"/>
          </w:tcPr>
          <w:p w:rsidR="00777662" w:rsidRPr="00AE1384" w:rsidRDefault="00D6794A" w:rsidP="004E13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（5</w:t>
            </w:r>
            <w:r w:rsidR="004E132F" w:rsidRPr="00AE1384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）以学科群建设为重点，</w:t>
            </w:r>
            <w:r w:rsidR="00527FA7" w:rsidRPr="00AE1384">
              <w:rPr>
                <w:rFonts w:ascii="仿宋_GB2312" w:eastAsia="仿宋_GB2312" w:hAnsi="仿宋_GB2312" w:cs="仿宋_GB2312" w:hint="eastAsia"/>
                <w:sz w:val="24"/>
              </w:rPr>
              <w:t>创新科研组织模式</w:t>
            </w:r>
            <w:r w:rsidR="00256BA4" w:rsidRPr="00AE1384">
              <w:rPr>
                <w:rFonts w:ascii="仿宋_GB2312" w:eastAsia="仿宋_GB2312" w:hAnsi="仿宋_GB2312" w:cs="仿宋_GB2312" w:hint="eastAsia"/>
                <w:sz w:val="24"/>
              </w:rPr>
              <w:t>建设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若干研究高地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科研院</w:t>
            </w:r>
            <w:r w:rsidR="003940D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牵头，发改处配合</w:t>
            </w:r>
          </w:p>
        </w:tc>
      </w:tr>
      <w:tr w:rsidR="00777662" w:rsidTr="00AA5BC8">
        <w:trPr>
          <w:trHeight w:val="1825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13.构建一流的科技创新平台体系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）优化整合省部级科研基地和校级研究机构，培育建设若干国家级科研基地</w:t>
            </w:r>
          </w:p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）加强科研信息化建设，推动科研资源共享与合作</w:t>
            </w:r>
          </w:p>
          <w:p w:rsidR="00AA5BC8" w:rsidRPr="00011104" w:rsidRDefault="00D6794A" w:rsidP="004E13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11104">
              <w:rPr>
                <w:rFonts w:ascii="仿宋_GB2312" w:eastAsia="仿宋_GB2312" w:hAnsi="仿宋_GB2312" w:cs="仿宋_GB2312" w:hint="eastAsia"/>
                <w:sz w:val="24"/>
              </w:rPr>
              <w:t>（5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 w:rsidRPr="00011104">
              <w:rPr>
                <w:rFonts w:ascii="仿宋_GB2312" w:eastAsia="仿宋_GB2312" w:hAnsi="仿宋_GB2312" w:cs="仿宋_GB2312" w:hint="eastAsia"/>
                <w:sz w:val="24"/>
              </w:rPr>
              <w:t>）建设跨学科公共支撑平台和野外科研台站，高标准建设试验农场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 w:rsidP="003940D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科研院</w:t>
            </w:r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牵头，</w:t>
            </w:r>
            <w:proofErr w:type="gramStart"/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网教中心</w:t>
            </w:r>
            <w:proofErr w:type="gramEnd"/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、场站配合</w:t>
            </w:r>
          </w:p>
        </w:tc>
      </w:tr>
      <w:tr w:rsidR="00777662">
        <w:trPr>
          <w:trHeight w:val="2162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14.打造丝绸之路经济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带现代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农业发展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高端智库</w:t>
            </w:r>
            <w:proofErr w:type="gramEnd"/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Pr="00AE1384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57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）加强西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部发展研究院、六次产业研究院、干旱半干旱地区农业发展战略研究中心、中国农业历史文化研究中心等</w:t>
            </w:r>
            <w:r w:rsidR="005B7AC9" w:rsidRPr="00AE1384">
              <w:rPr>
                <w:rFonts w:ascii="仿宋_GB2312" w:eastAsia="仿宋_GB2312" w:hAnsi="仿宋_GB2312" w:cs="仿宋_GB2312" w:hint="eastAsia"/>
                <w:sz w:val="24"/>
              </w:rPr>
              <w:t>学术机构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建设，</w:t>
            </w:r>
            <w:r w:rsidR="005B7AC9" w:rsidRPr="00AE1384">
              <w:rPr>
                <w:rFonts w:ascii="仿宋_GB2312" w:eastAsia="仿宋_GB2312" w:hAnsi="仿宋_GB2312" w:cs="仿宋_GB2312" w:hint="eastAsia"/>
                <w:sz w:val="24"/>
              </w:rPr>
              <w:t>主导形成一批面向西部区域发展的重要政策性成果</w:t>
            </w:r>
          </w:p>
          <w:p w:rsidR="00777662" w:rsidRPr="001D60FE" w:rsidRDefault="00D6794A" w:rsidP="004E132F">
            <w:pPr>
              <w:jc w:val="left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4E132F" w:rsidRPr="00AE1384">
              <w:rPr>
                <w:rFonts w:ascii="仿宋_GB2312" w:eastAsia="仿宋_GB2312" w:hAnsi="仿宋_GB2312" w:cs="仿宋_GB2312" w:hint="eastAsia"/>
                <w:sz w:val="24"/>
              </w:rPr>
              <w:t>58</w:t>
            </w:r>
            <w:r w:rsidR="005B7AC9" w:rsidRPr="00AE1384">
              <w:rPr>
                <w:rFonts w:ascii="仿宋_GB2312" w:eastAsia="仿宋_GB2312" w:hAnsi="仿宋_GB2312" w:cs="仿宋_GB2312" w:hint="eastAsia"/>
                <w:sz w:val="24"/>
              </w:rPr>
              <w:t>）依托“丝绸之路农业教育科技创新联盟”平台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，主导形成一批</w:t>
            </w:r>
            <w:r w:rsidR="005B7AC9" w:rsidRPr="00AE1384">
              <w:rPr>
                <w:rFonts w:ascii="仿宋_GB2312" w:eastAsia="仿宋_GB2312" w:hAnsi="仿宋_GB2312" w:cs="仿宋_GB2312" w:hint="eastAsia"/>
                <w:sz w:val="24"/>
              </w:rPr>
              <w:t>面向丝绸之路经济带建设的重要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政策性成果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 w:rsidP="005B7AC9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科研院</w:t>
            </w:r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国际处</w:t>
            </w:r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配合</w:t>
            </w:r>
          </w:p>
        </w:tc>
      </w:tr>
      <w:tr w:rsidR="00777662">
        <w:trPr>
          <w:trHeight w:val="1414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15.建立以质量为导向的科技评价体系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59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）修订科技评价办法，建立分类评价指标体系</w:t>
            </w:r>
          </w:p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（6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）创新评价方式，探索国际对标评价、国际同行评价机制和按团队进行评价</w:t>
            </w:r>
          </w:p>
          <w:p w:rsidR="00777662" w:rsidRDefault="00D6794A" w:rsidP="004E13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（6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）建立以质量、水平、贡献和绩效为导向的科研业绩奖励机制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777662" w:rsidRDefault="00D6794A" w:rsidP="005D304E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科研院</w:t>
            </w:r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</w:t>
            </w:r>
          </w:p>
        </w:tc>
      </w:tr>
      <w:tr w:rsidR="00777662">
        <w:trPr>
          <w:trHeight w:val="1126"/>
          <w:jc w:val="center"/>
        </w:trPr>
        <w:tc>
          <w:tcPr>
            <w:tcW w:w="1647" w:type="dxa"/>
            <w:vMerge w:val="restart"/>
            <w:vAlign w:val="center"/>
          </w:tcPr>
          <w:p w:rsidR="00777662" w:rsidRDefault="00D6794A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四、传承创新优秀文化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凝练西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农精神，培育大学文化</w:t>
            </w:r>
          </w:p>
        </w:tc>
        <w:tc>
          <w:tcPr>
            <w:tcW w:w="8507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（6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）开设“凤岗”讲坛，弘扬西农精神</w:t>
            </w:r>
          </w:p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（6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）出版《校训文集》和《西农精神文集》</w:t>
            </w:r>
          </w:p>
          <w:p w:rsidR="00777662" w:rsidRDefault="00D6794A" w:rsidP="004E13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4E132F">
              <w:rPr>
                <w:rFonts w:ascii="仿宋_GB2312" w:eastAsia="仿宋_GB2312" w:hAnsi="仿宋_GB2312" w:cs="仿宋_GB2312" w:hint="eastAsia"/>
                <w:sz w:val="24"/>
              </w:rPr>
              <w:t>64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）凝练阐述“西农精神”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宣传部</w:t>
            </w:r>
            <w:r w:rsidR="004D084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</w:t>
            </w:r>
            <w:r w:rsidR="004D0847" w:rsidRPr="00253C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，学工部、</w:t>
            </w:r>
            <w:proofErr w:type="gramStart"/>
            <w:r w:rsidR="004D0847" w:rsidRPr="00253C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</w:t>
            </w:r>
            <w:proofErr w:type="gramEnd"/>
            <w:r w:rsidR="004D0847" w:rsidRPr="00253C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工部、团委配合</w:t>
            </w:r>
          </w:p>
        </w:tc>
      </w:tr>
      <w:tr w:rsidR="00777662">
        <w:trPr>
          <w:trHeight w:val="1128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17.加强校风、教风、学风建设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Pr="00AE1384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（6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proofErr w:type="gramStart"/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编写全</w:t>
            </w:r>
            <w:proofErr w:type="gramEnd"/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课程核心价值观和中华优秀传统文化教育案例集</w:t>
            </w:r>
          </w:p>
          <w:p w:rsidR="00777662" w:rsidRPr="00AE1384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66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）持续推进“品味西农”活动，出版《西农印象》系列丛书</w:t>
            </w:r>
          </w:p>
          <w:p w:rsidR="00777662" w:rsidRPr="00AE1384" w:rsidRDefault="00D6794A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67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）开展校风、教风、学风建设大讨论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宣传部</w:t>
            </w:r>
            <w:r w:rsidR="006C067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牵头，教务处、学工部、</w:t>
            </w:r>
            <w:proofErr w:type="gramStart"/>
            <w:r w:rsidR="006C067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</w:t>
            </w:r>
            <w:proofErr w:type="gramEnd"/>
            <w:r w:rsidR="006C067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工部</w:t>
            </w:r>
            <w:r w:rsidR="004D0847" w:rsidRPr="00253C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、团委</w:t>
            </w:r>
            <w:r w:rsidR="006C067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配合</w:t>
            </w:r>
          </w:p>
        </w:tc>
      </w:tr>
      <w:tr w:rsidR="00F75206" w:rsidTr="00AE5A59">
        <w:trPr>
          <w:trHeight w:val="2278"/>
          <w:jc w:val="center"/>
        </w:trPr>
        <w:tc>
          <w:tcPr>
            <w:tcW w:w="1647" w:type="dxa"/>
            <w:vMerge/>
            <w:vAlign w:val="center"/>
          </w:tcPr>
          <w:p w:rsidR="00F75206" w:rsidRDefault="00F75206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F75206" w:rsidRDefault="00F7520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18.传承弘扬先进文化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F75206" w:rsidRPr="00AE1384" w:rsidRDefault="00F7520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68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）建立“新丝绸之路经济带”文化交流合作常态化机制</w:t>
            </w:r>
          </w:p>
          <w:p w:rsidR="00F75206" w:rsidRPr="00AE1384" w:rsidRDefault="00F7520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69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）打造升级版的农业科普教育宣传平台</w:t>
            </w:r>
          </w:p>
          <w:p w:rsidR="00F75206" w:rsidRPr="00AE1384" w:rsidRDefault="00F7520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70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）深入开展生态文明教育</w:t>
            </w:r>
          </w:p>
          <w:p w:rsidR="00F75206" w:rsidRPr="00AE1384" w:rsidRDefault="00F75206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（7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）打造以弘扬“中华农业文明”为核心的</w:t>
            </w:r>
            <w:proofErr w:type="gramStart"/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文化工</w:t>
            </w:r>
            <w:proofErr w:type="gramEnd"/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作坊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F75206" w:rsidRDefault="00F75206" w:rsidP="00F7520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宣传部牵头，博览园、教务处、团委配合</w:t>
            </w:r>
          </w:p>
        </w:tc>
      </w:tr>
      <w:tr w:rsidR="00777662" w:rsidTr="00490AC3">
        <w:trPr>
          <w:trHeight w:val="1533"/>
          <w:jc w:val="center"/>
        </w:trPr>
        <w:tc>
          <w:tcPr>
            <w:tcW w:w="1647" w:type="dxa"/>
            <w:vMerge w:val="restart"/>
            <w:vAlign w:val="center"/>
          </w:tcPr>
          <w:p w:rsidR="00777662" w:rsidRDefault="00D6794A" w:rsidP="00490AC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五、推进成果转化和社会服务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19.建设立足西北、面向旱区、辐射“一带一路”的农业推广平台体系</w:t>
            </w:r>
          </w:p>
        </w:tc>
        <w:tc>
          <w:tcPr>
            <w:tcW w:w="8507" w:type="dxa"/>
            <w:tcBorders>
              <w:bottom w:val="single" w:sz="4" w:space="0" w:color="auto"/>
            </w:tcBorders>
            <w:vAlign w:val="center"/>
          </w:tcPr>
          <w:p w:rsidR="00777662" w:rsidRPr="00AE1384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（7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）建成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10个左右与学科发展紧密关联的“五位一体”核心试验示范站</w:t>
            </w:r>
          </w:p>
          <w:p w:rsidR="00777662" w:rsidRPr="00AE1384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（7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）探索在“一带一路”沿线国家建立试验示范基地</w:t>
            </w:r>
          </w:p>
          <w:p w:rsidR="00777662" w:rsidRDefault="00D6794A" w:rsidP="00934BB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（7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="00934BBE">
              <w:rPr>
                <w:rFonts w:ascii="仿宋_GB2312" w:eastAsia="仿宋_GB2312" w:hAnsi="仿宋_GB2312" w:cs="仿宋_GB2312" w:hint="eastAsia"/>
                <w:sz w:val="24"/>
              </w:rPr>
              <w:t>依托核心试验站、区域示范站、技术推广站形成科技成果转化的快捷通道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推广处</w:t>
            </w:r>
            <w:r w:rsidR="00F7520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牵头，新农院、国际处配合</w:t>
            </w:r>
          </w:p>
        </w:tc>
      </w:tr>
      <w:tr w:rsidR="00822767" w:rsidTr="001B124A">
        <w:trPr>
          <w:trHeight w:val="1395"/>
          <w:jc w:val="center"/>
        </w:trPr>
        <w:tc>
          <w:tcPr>
            <w:tcW w:w="1647" w:type="dxa"/>
            <w:vMerge/>
            <w:vAlign w:val="center"/>
          </w:tcPr>
          <w:p w:rsidR="00822767" w:rsidRDefault="008227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822767" w:rsidRDefault="0082276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20.构建多主体协同、公益性与市场化相结合的网络化科技推广新机制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822767" w:rsidRDefault="0082276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（7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）发挥“三盟”作用，协同开展公益性农业科技推广</w:t>
            </w:r>
          </w:p>
          <w:p w:rsidR="00822767" w:rsidRDefault="0082276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76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）引入市场机制，成立学校科技成果转移转化服务中心</w:t>
            </w:r>
          </w:p>
          <w:p w:rsidR="00822767" w:rsidRDefault="00822767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77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）深度参与扶贫攻坚工作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822767" w:rsidRDefault="00822767" w:rsidP="00491724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推广处牵头，新农院、国际处配合</w:t>
            </w:r>
          </w:p>
        </w:tc>
      </w:tr>
      <w:tr w:rsidR="00777662">
        <w:trPr>
          <w:trHeight w:val="1453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21.构建以产业为导向，多元化参与、全产业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链服务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的科技推广团队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Pr="00AE1384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78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）打通教学、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科研、推广人员岗位界限，构建多学科科技推广团队</w:t>
            </w:r>
          </w:p>
          <w:p w:rsidR="00777662" w:rsidRPr="00AE1384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79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）引入项目管理机制，吸引国内外高水平专家参与科技推广工作</w:t>
            </w:r>
          </w:p>
          <w:p w:rsidR="00777662" w:rsidRDefault="00D6794A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（8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）建立以质量为导向的科技推广考核评价体系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 w:rsidP="0082276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推广处</w:t>
            </w:r>
            <w:r w:rsidR="0082276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牵头，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新农院</w:t>
            </w:r>
            <w:r w:rsidR="0082276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、人事处配合</w:t>
            </w:r>
          </w:p>
        </w:tc>
      </w:tr>
      <w:tr w:rsidR="00777662" w:rsidTr="00B87D09">
        <w:trPr>
          <w:trHeight w:val="1559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22.建设一流现代农业农民教育培训基地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（8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="00770A83">
              <w:rPr>
                <w:rFonts w:ascii="仿宋_GB2312" w:eastAsia="仿宋_GB2312" w:hAnsi="仿宋_GB2312" w:cs="仿宋_GB2312" w:hint="eastAsia"/>
                <w:sz w:val="24"/>
              </w:rPr>
              <w:t>扩大培训规模与覆盖区域，提升培训品牌影响力</w:t>
            </w:r>
          </w:p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（8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）打造特色精品培训项目</w:t>
            </w:r>
          </w:p>
          <w:p w:rsidR="00777662" w:rsidRDefault="00D6794A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（8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）探索建立农民发展学院理事会制度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成教学院</w:t>
            </w:r>
          </w:p>
        </w:tc>
      </w:tr>
      <w:tr w:rsidR="00777662" w:rsidTr="00B87D09">
        <w:trPr>
          <w:trHeight w:val="1411"/>
          <w:jc w:val="center"/>
        </w:trPr>
        <w:tc>
          <w:tcPr>
            <w:tcW w:w="1647" w:type="dxa"/>
            <w:vMerge/>
            <w:vAlign w:val="center"/>
          </w:tcPr>
          <w:p w:rsidR="00777662" w:rsidRDefault="00777662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23.打造全国高校领先的知名科普品牌</w:t>
            </w:r>
          </w:p>
        </w:tc>
        <w:tc>
          <w:tcPr>
            <w:tcW w:w="8507" w:type="dxa"/>
            <w:tcBorders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（8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）对农博园有关博物馆进行升级改造，创建国家一级博物馆</w:t>
            </w:r>
          </w:p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（8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）成立西北农林科技大学科普中心</w:t>
            </w:r>
          </w:p>
          <w:p w:rsidR="005B7AC9" w:rsidRDefault="00D6794A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86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）在学校主要试验示范基地设立科普工作站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662" w:rsidRDefault="00D6794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博览园</w:t>
            </w:r>
          </w:p>
        </w:tc>
      </w:tr>
      <w:tr w:rsidR="00822767" w:rsidTr="00B87D09">
        <w:trPr>
          <w:trHeight w:val="1393"/>
          <w:jc w:val="center"/>
        </w:trPr>
        <w:tc>
          <w:tcPr>
            <w:tcW w:w="1647" w:type="dxa"/>
            <w:vMerge/>
            <w:vAlign w:val="center"/>
          </w:tcPr>
          <w:p w:rsidR="00822767" w:rsidRDefault="008227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822767" w:rsidRDefault="0082276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24.建立服务杨凌自贸区建设的人才与智力支持机制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822767" w:rsidRPr="00AE1384" w:rsidRDefault="0082276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87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）积极开展国际农业发展战略研究、政策研究和农业贸易研究</w:t>
            </w:r>
          </w:p>
          <w:p w:rsidR="00822767" w:rsidRPr="00AE1384" w:rsidRDefault="00822767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88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）支持杨</w:t>
            </w:r>
            <w:proofErr w:type="gramStart"/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凌自贸区创新</w:t>
            </w:r>
            <w:proofErr w:type="gramEnd"/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英才汇聚行动和创新创业领军人才集聚工程的实施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822767" w:rsidRDefault="00822767" w:rsidP="00CC1B3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科研院牵头，</w:t>
            </w:r>
            <w:r w:rsidRPr="001050A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、人才办配合</w:t>
            </w:r>
          </w:p>
        </w:tc>
      </w:tr>
      <w:tr w:rsidR="00822767" w:rsidTr="00B87D09">
        <w:trPr>
          <w:trHeight w:val="1551"/>
          <w:jc w:val="center"/>
        </w:trPr>
        <w:tc>
          <w:tcPr>
            <w:tcW w:w="1647" w:type="dxa"/>
            <w:vMerge/>
            <w:vAlign w:val="center"/>
          </w:tcPr>
          <w:p w:rsidR="00822767" w:rsidRDefault="008227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822767" w:rsidRDefault="0082276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25.建立服务杨凌自贸区建设的科技创新与成果转化机制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822767" w:rsidRPr="00AE1384" w:rsidRDefault="0082276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89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="00D81DC0" w:rsidRPr="00AE1384">
              <w:rPr>
                <w:rFonts w:ascii="仿宋_GB2312" w:eastAsia="仿宋_GB2312" w:hAnsi="仿宋_GB2312" w:cs="仿宋_GB2312" w:hint="eastAsia"/>
                <w:sz w:val="24"/>
              </w:rPr>
              <w:t>配合杨凌自贸区</w:t>
            </w:r>
            <w:r w:rsidR="00B64E2A" w:rsidRPr="00AE1384">
              <w:rPr>
                <w:rFonts w:ascii="仿宋_GB2312" w:eastAsia="仿宋_GB2312" w:hAnsi="仿宋_GB2312" w:cs="仿宋_GB2312" w:hint="eastAsia"/>
                <w:sz w:val="24"/>
              </w:rPr>
              <w:t>建设</w:t>
            </w:r>
            <w:r w:rsidR="00D81DC0" w:rsidRPr="00AE1384">
              <w:rPr>
                <w:rFonts w:ascii="仿宋_GB2312" w:eastAsia="仿宋_GB2312" w:hAnsi="仿宋_GB2312" w:cs="仿宋_GB2312" w:hint="eastAsia"/>
                <w:sz w:val="24"/>
              </w:rPr>
              <w:t>国内外科技合作</w:t>
            </w:r>
            <w:r w:rsidR="00B64E2A" w:rsidRPr="00AE1384">
              <w:rPr>
                <w:rFonts w:ascii="仿宋_GB2312" w:eastAsia="仿宋_GB2312" w:hAnsi="仿宋_GB2312" w:cs="仿宋_GB2312" w:hint="eastAsia"/>
                <w:sz w:val="24"/>
              </w:rPr>
              <w:t>与示范推广平台</w:t>
            </w:r>
          </w:p>
          <w:p w:rsidR="00822767" w:rsidRPr="00AE1384" w:rsidRDefault="0082276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90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）为杨凌自贸区旱区农业技术标准创新服务平台建设提供技术支撑</w:t>
            </w:r>
          </w:p>
          <w:p w:rsidR="00822767" w:rsidRPr="00AE1384" w:rsidRDefault="00822767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（9</w:t>
            </w:r>
            <w:r w:rsidR="00B87D09" w:rsidRPr="00AE1384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Pr="00AE1384">
              <w:rPr>
                <w:rFonts w:ascii="仿宋_GB2312" w:eastAsia="仿宋_GB2312" w:hAnsi="仿宋_GB2312" w:cs="仿宋_GB2312" w:hint="eastAsia"/>
                <w:sz w:val="24"/>
              </w:rPr>
              <w:t>）探索建立学校国际技术转移中心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822767" w:rsidRDefault="00822767" w:rsidP="00822767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推广处牵头，科研院、新农院配合</w:t>
            </w:r>
          </w:p>
        </w:tc>
      </w:tr>
      <w:tr w:rsidR="00643C0F" w:rsidTr="00B87D09">
        <w:trPr>
          <w:trHeight w:val="1326"/>
          <w:jc w:val="center"/>
        </w:trPr>
        <w:tc>
          <w:tcPr>
            <w:tcW w:w="1647" w:type="dxa"/>
            <w:vMerge/>
            <w:vAlign w:val="center"/>
          </w:tcPr>
          <w:p w:rsidR="00643C0F" w:rsidRDefault="00643C0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643C0F" w:rsidRDefault="00643C0F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26.建立服务杨凌自贸区建设的人文交流与国际合作机制</w:t>
            </w:r>
          </w:p>
        </w:tc>
        <w:tc>
          <w:tcPr>
            <w:tcW w:w="8507" w:type="dxa"/>
            <w:tcBorders>
              <w:top w:val="single" w:sz="4" w:space="0" w:color="auto"/>
            </w:tcBorders>
            <w:vAlign w:val="center"/>
          </w:tcPr>
          <w:p w:rsidR="00643C0F" w:rsidRDefault="00643C0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（9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）争取在丝绸之路沿线国家设立孔子学院</w:t>
            </w:r>
          </w:p>
          <w:p w:rsidR="008815BF" w:rsidRDefault="00643C0F" w:rsidP="008815B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（9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 w:rsidR="008815BF">
              <w:rPr>
                <w:rFonts w:ascii="仿宋_GB2312" w:eastAsia="仿宋_GB2312" w:hAnsi="仿宋_GB2312" w:cs="仿宋_GB2312" w:hint="eastAsia"/>
                <w:sz w:val="24"/>
              </w:rPr>
              <w:t>推进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面向“一带一路”沿线国家</w:t>
            </w:r>
            <w:r w:rsidR="008815BF">
              <w:rPr>
                <w:rFonts w:ascii="仿宋_GB2312" w:eastAsia="仿宋_GB2312" w:hAnsi="仿宋_GB2312" w:cs="仿宋_GB2312" w:hint="eastAsia"/>
                <w:sz w:val="24"/>
              </w:rPr>
              <w:t>的教育培训基地建设</w:t>
            </w:r>
          </w:p>
          <w:p w:rsidR="00643C0F" w:rsidRDefault="00643C0F" w:rsidP="00B87D0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B87D09">
              <w:rPr>
                <w:rFonts w:ascii="仿宋_GB2312" w:eastAsia="仿宋_GB2312" w:hAnsi="仿宋_GB2312" w:cs="仿宋_GB2312" w:hint="eastAsia"/>
                <w:sz w:val="24"/>
              </w:rPr>
              <w:t>94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）提升杨凌国际农业科技论坛影响力，支持举办高水平国际学术会议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643C0F" w:rsidRDefault="00217E86" w:rsidP="00217E8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国际处牵头，</w:t>
            </w:r>
            <w:r w:rsidR="00643C0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国际学院、科研院</w:t>
            </w:r>
            <w:r w:rsidR="00C81DB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C81DB5" w:rsidRPr="00253C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成教学</w:t>
            </w:r>
            <w:proofErr w:type="gramStart"/>
            <w:r w:rsidR="00C81DB5" w:rsidRPr="00253C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</w:t>
            </w:r>
            <w:r w:rsidR="00643C0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配合</w:t>
            </w:r>
            <w:proofErr w:type="gramEnd"/>
          </w:p>
        </w:tc>
      </w:tr>
    </w:tbl>
    <w:p w:rsidR="00777662" w:rsidRDefault="00777662" w:rsidP="00B87D09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777662" w:rsidSect="00777662">
      <w:footerReference w:type="default" r:id="rId7"/>
      <w:pgSz w:w="16838" w:h="11906" w:orient="landscape"/>
      <w:pgMar w:top="567" w:right="1134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A7" w:rsidRDefault="004A32A7" w:rsidP="00777662">
      <w:r>
        <w:separator/>
      </w:r>
    </w:p>
  </w:endnote>
  <w:endnote w:type="continuationSeparator" w:id="0">
    <w:p w:rsidR="004A32A7" w:rsidRDefault="004A32A7" w:rsidP="00777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755798"/>
    </w:sdtPr>
    <w:sdtContent>
      <w:p w:rsidR="00777662" w:rsidRDefault="006136B8">
        <w:pPr>
          <w:pStyle w:val="a3"/>
          <w:jc w:val="center"/>
        </w:pPr>
        <w:r w:rsidRPr="006136B8">
          <w:fldChar w:fldCharType="begin"/>
        </w:r>
        <w:r w:rsidR="00D6794A">
          <w:instrText xml:space="preserve"> PAGE   \* MERGEFORMAT </w:instrText>
        </w:r>
        <w:r w:rsidRPr="006136B8">
          <w:fldChar w:fldCharType="separate"/>
        </w:r>
        <w:r w:rsidR="00626F49" w:rsidRPr="00626F49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777662" w:rsidRDefault="007776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A7" w:rsidRDefault="004A32A7" w:rsidP="00777662">
      <w:r>
        <w:separator/>
      </w:r>
    </w:p>
  </w:footnote>
  <w:footnote w:type="continuationSeparator" w:id="0">
    <w:p w:rsidR="004A32A7" w:rsidRDefault="004A32A7" w:rsidP="00777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F87"/>
    <w:rsid w:val="000011D7"/>
    <w:rsid w:val="00002915"/>
    <w:rsid w:val="000030BA"/>
    <w:rsid w:val="00011104"/>
    <w:rsid w:val="00012C4E"/>
    <w:rsid w:val="00027C7D"/>
    <w:rsid w:val="00030FE1"/>
    <w:rsid w:val="00050F53"/>
    <w:rsid w:val="00057331"/>
    <w:rsid w:val="000628B5"/>
    <w:rsid w:val="00066239"/>
    <w:rsid w:val="00070A9B"/>
    <w:rsid w:val="00073F0D"/>
    <w:rsid w:val="00076901"/>
    <w:rsid w:val="0007773F"/>
    <w:rsid w:val="0008079F"/>
    <w:rsid w:val="00090EC3"/>
    <w:rsid w:val="000911EE"/>
    <w:rsid w:val="000A04FB"/>
    <w:rsid w:val="000A395A"/>
    <w:rsid w:val="000A47B0"/>
    <w:rsid w:val="000A5F25"/>
    <w:rsid w:val="000B1060"/>
    <w:rsid w:val="000B4210"/>
    <w:rsid w:val="000B4713"/>
    <w:rsid w:val="000B4DEC"/>
    <w:rsid w:val="000D1647"/>
    <w:rsid w:val="000D72C5"/>
    <w:rsid w:val="000E2F64"/>
    <w:rsid w:val="000E37F6"/>
    <w:rsid w:val="000E4C81"/>
    <w:rsid w:val="000E66A8"/>
    <w:rsid w:val="000F21A6"/>
    <w:rsid w:val="000F3A3C"/>
    <w:rsid w:val="000F5B02"/>
    <w:rsid w:val="001003EF"/>
    <w:rsid w:val="001050A4"/>
    <w:rsid w:val="0011334A"/>
    <w:rsid w:val="00117311"/>
    <w:rsid w:val="001345C0"/>
    <w:rsid w:val="00137ABB"/>
    <w:rsid w:val="00141D88"/>
    <w:rsid w:val="00153F8F"/>
    <w:rsid w:val="00161004"/>
    <w:rsid w:val="00167934"/>
    <w:rsid w:val="0017068E"/>
    <w:rsid w:val="001746CB"/>
    <w:rsid w:val="00175420"/>
    <w:rsid w:val="001771FD"/>
    <w:rsid w:val="00181859"/>
    <w:rsid w:val="001865CF"/>
    <w:rsid w:val="00191117"/>
    <w:rsid w:val="00192D05"/>
    <w:rsid w:val="00194603"/>
    <w:rsid w:val="0019496E"/>
    <w:rsid w:val="0019763F"/>
    <w:rsid w:val="001C0629"/>
    <w:rsid w:val="001D5783"/>
    <w:rsid w:val="001D60FE"/>
    <w:rsid w:val="001E097B"/>
    <w:rsid w:val="001E5C20"/>
    <w:rsid w:val="00201B81"/>
    <w:rsid w:val="00211063"/>
    <w:rsid w:val="00217E86"/>
    <w:rsid w:val="00226252"/>
    <w:rsid w:val="0023077C"/>
    <w:rsid w:val="002507E2"/>
    <w:rsid w:val="0025257C"/>
    <w:rsid w:val="00253C5E"/>
    <w:rsid w:val="00256BA4"/>
    <w:rsid w:val="00265086"/>
    <w:rsid w:val="002A198F"/>
    <w:rsid w:val="002A39D4"/>
    <w:rsid w:val="002A71B4"/>
    <w:rsid w:val="002A71F3"/>
    <w:rsid w:val="002B0E61"/>
    <w:rsid w:val="002B28DA"/>
    <w:rsid w:val="002C0529"/>
    <w:rsid w:val="002C76B6"/>
    <w:rsid w:val="002D7AF5"/>
    <w:rsid w:val="002E378C"/>
    <w:rsid w:val="002E477E"/>
    <w:rsid w:val="002E6051"/>
    <w:rsid w:val="002F2D5F"/>
    <w:rsid w:val="002F63F6"/>
    <w:rsid w:val="003010EF"/>
    <w:rsid w:val="003024E8"/>
    <w:rsid w:val="00306E31"/>
    <w:rsid w:val="003136B0"/>
    <w:rsid w:val="003217AA"/>
    <w:rsid w:val="003258B0"/>
    <w:rsid w:val="003329DE"/>
    <w:rsid w:val="00335B91"/>
    <w:rsid w:val="00336E64"/>
    <w:rsid w:val="0034107E"/>
    <w:rsid w:val="003504A4"/>
    <w:rsid w:val="00356E57"/>
    <w:rsid w:val="00365711"/>
    <w:rsid w:val="003673FC"/>
    <w:rsid w:val="00370BFC"/>
    <w:rsid w:val="00375102"/>
    <w:rsid w:val="003801C8"/>
    <w:rsid w:val="00391ED2"/>
    <w:rsid w:val="003940D9"/>
    <w:rsid w:val="0039446D"/>
    <w:rsid w:val="00394C99"/>
    <w:rsid w:val="00395E47"/>
    <w:rsid w:val="003A18CC"/>
    <w:rsid w:val="003A32FA"/>
    <w:rsid w:val="003B0219"/>
    <w:rsid w:val="003B11D3"/>
    <w:rsid w:val="003B1E2D"/>
    <w:rsid w:val="003B70F8"/>
    <w:rsid w:val="003C1D67"/>
    <w:rsid w:val="003D0681"/>
    <w:rsid w:val="003D1F3A"/>
    <w:rsid w:val="003D374E"/>
    <w:rsid w:val="003D3DDF"/>
    <w:rsid w:val="003F006C"/>
    <w:rsid w:val="003F3325"/>
    <w:rsid w:val="003F676E"/>
    <w:rsid w:val="00413300"/>
    <w:rsid w:val="00417968"/>
    <w:rsid w:val="004204E8"/>
    <w:rsid w:val="004211FF"/>
    <w:rsid w:val="0042276B"/>
    <w:rsid w:val="004248CE"/>
    <w:rsid w:val="00430E76"/>
    <w:rsid w:val="00432F2B"/>
    <w:rsid w:val="00434A55"/>
    <w:rsid w:val="00436494"/>
    <w:rsid w:val="00437B35"/>
    <w:rsid w:val="00440F73"/>
    <w:rsid w:val="004616F5"/>
    <w:rsid w:val="0047315A"/>
    <w:rsid w:val="00475B73"/>
    <w:rsid w:val="00490AC3"/>
    <w:rsid w:val="00491724"/>
    <w:rsid w:val="004917EE"/>
    <w:rsid w:val="00491885"/>
    <w:rsid w:val="00496329"/>
    <w:rsid w:val="004A0E6C"/>
    <w:rsid w:val="004A28BA"/>
    <w:rsid w:val="004A32A7"/>
    <w:rsid w:val="004A6052"/>
    <w:rsid w:val="004B06AE"/>
    <w:rsid w:val="004B170C"/>
    <w:rsid w:val="004C3406"/>
    <w:rsid w:val="004C4D49"/>
    <w:rsid w:val="004C5E00"/>
    <w:rsid w:val="004C6E57"/>
    <w:rsid w:val="004D0847"/>
    <w:rsid w:val="004E132F"/>
    <w:rsid w:val="004E4BD8"/>
    <w:rsid w:val="004F1905"/>
    <w:rsid w:val="0050137B"/>
    <w:rsid w:val="0051424C"/>
    <w:rsid w:val="00515CAD"/>
    <w:rsid w:val="005179D2"/>
    <w:rsid w:val="00527FA7"/>
    <w:rsid w:val="00531CE7"/>
    <w:rsid w:val="00535CA9"/>
    <w:rsid w:val="0054344A"/>
    <w:rsid w:val="0056187D"/>
    <w:rsid w:val="0056535F"/>
    <w:rsid w:val="00565E70"/>
    <w:rsid w:val="00573CF4"/>
    <w:rsid w:val="00573FCF"/>
    <w:rsid w:val="00581DB1"/>
    <w:rsid w:val="00590077"/>
    <w:rsid w:val="00596649"/>
    <w:rsid w:val="00597AC8"/>
    <w:rsid w:val="005A22B6"/>
    <w:rsid w:val="005A5D38"/>
    <w:rsid w:val="005B3FFD"/>
    <w:rsid w:val="005B5BE4"/>
    <w:rsid w:val="005B64CD"/>
    <w:rsid w:val="005B6EB7"/>
    <w:rsid w:val="005B7AC9"/>
    <w:rsid w:val="005C1158"/>
    <w:rsid w:val="005C1502"/>
    <w:rsid w:val="005C4FFA"/>
    <w:rsid w:val="005C5565"/>
    <w:rsid w:val="005D304E"/>
    <w:rsid w:val="005D56DE"/>
    <w:rsid w:val="005D6003"/>
    <w:rsid w:val="005E2D67"/>
    <w:rsid w:val="005E4A87"/>
    <w:rsid w:val="00600FE3"/>
    <w:rsid w:val="0060564C"/>
    <w:rsid w:val="00607BFC"/>
    <w:rsid w:val="006136B8"/>
    <w:rsid w:val="00613C7D"/>
    <w:rsid w:val="00615950"/>
    <w:rsid w:val="00626067"/>
    <w:rsid w:val="00626F49"/>
    <w:rsid w:val="006275F9"/>
    <w:rsid w:val="00630F55"/>
    <w:rsid w:val="00634073"/>
    <w:rsid w:val="00640BCD"/>
    <w:rsid w:val="00642B91"/>
    <w:rsid w:val="00643C0F"/>
    <w:rsid w:val="006456D4"/>
    <w:rsid w:val="00647879"/>
    <w:rsid w:val="006637E2"/>
    <w:rsid w:val="00670E75"/>
    <w:rsid w:val="00672F70"/>
    <w:rsid w:val="00680B2D"/>
    <w:rsid w:val="00685707"/>
    <w:rsid w:val="00690B10"/>
    <w:rsid w:val="00690D5B"/>
    <w:rsid w:val="0069383F"/>
    <w:rsid w:val="00694C0A"/>
    <w:rsid w:val="006B0BB7"/>
    <w:rsid w:val="006B2CF1"/>
    <w:rsid w:val="006C067F"/>
    <w:rsid w:val="006C0985"/>
    <w:rsid w:val="006C1960"/>
    <w:rsid w:val="006D0220"/>
    <w:rsid w:val="006D2BD5"/>
    <w:rsid w:val="006D62B1"/>
    <w:rsid w:val="006E145A"/>
    <w:rsid w:val="006E33C6"/>
    <w:rsid w:val="006F044C"/>
    <w:rsid w:val="006F2E98"/>
    <w:rsid w:val="006F2E9A"/>
    <w:rsid w:val="0071609D"/>
    <w:rsid w:val="007161CB"/>
    <w:rsid w:val="0071757B"/>
    <w:rsid w:val="007248EE"/>
    <w:rsid w:val="00731BB5"/>
    <w:rsid w:val="007421D5"/>
    <w:rsid w:val="00747182"/>
    <w:rsid w:val="00750F32"/>
    <w:rsid w:val="00764AFD"/>
    <w:rsid w:val="00770A83"/>
    <w:rsid w:val="0077207B"/>
    <w:rsid w:val="00772BB8"/>
    <w:rsid w:val="0077485E"/>
    <w:rsid w:val="00777662"/>
    <w:rsid w:val="00777CC2"/>
    <w:rsid w:val="00780F4C"/>
    <w:rsid w:val="007848FE"/>
    <w:rsid w:val="00792DF0"/>
    <w:rsid w:val="007A311A"/>
    <w:rsid w:val="007A5424"/>
    <w:rsid w:val="007C039D"/>
    <w:rsid w:val="007C0E73"/>
    <w:rsid w:val="007C1197"/>
    <w:rsid w:val="007C63EC"/>
    <w:rsid w:val="007D24D1"/>
    <w:rsid w:val="007D28D2"/>
    <w:rsid w:val="007D642D"/>
    <w:rsid w:val="007E2A61"/>
    <w:rsid w:val="007E3421"/>
    <w:rsid w:val="007E5DC5"/>
    <w:rsid w:val="007F05CF"/>
    <w:rsid w:val="007F0B97"/>
    <w:rsid w:val="007F1373"/>
    <w:rsid w:val="007F70AC"/>
    <w:rsid w:val="007F788A"/>
    <w:rsid w:val="00802E27"/>
    <w:rsid w:val="008056D3"/>
    <w:rsid w:val="00805A18"/>
    <w:rsid w:val="0081239E"/>
    <w:rsid w:val="00814A33"/>
    <w:rsid w:val="008153CB"/>
    <w:rsid w:val="008165C5"/>
    <w:rsid w:val="00817CA9"/>
    <w:rsid w:val="00822767"/>
    <w:rsid w:val="0082374E"/>
    <w:rsid w:val="008258FB"/>
    <w:rsid w:val="00826B07"/>
    <w:rsid w:val="00831BC3"/>
    <w:rsid w:val="00843506"/>
    <w:rsid w:val="0084792C"/>
    <w:rsid w:val="00864A98"/>
    <w:rsid w:val="008739FD"/>
    <w:rsid w:val="008815BF"/>
    <w:rsid w:val="00883770"/>
    <w:rsid w:val="00885902"/>
    <w:rsid w:val="00891D0B"/>
    <w:rsid w:val="008A0A32"/>
    <w:rsid w:val="008A26FF"/>
    <w:rsid w:val="008B4375"/>
    <w:rsid w:val="008B7137"/>
    <w:rsid w:val="008C04C4"/>
    <w:rsid w:val="008C27F4"/>
    <w:rsid w:val="008C4FE5"/>
    <w:rsid w:val="008D5B49"/>
    <w:rsid w:val="008D5F47"/>
    <w:rsid w:val="008E5D05"/>
    <w:rsid w:val="008F26A6"/>
    <w:rsid w:val="008F3992"/>
    <w:rsid w:val="008F414B"/>
    <w:rsid w:val="008F49CB"/>
    <w:rsid w:val="008F5A65"/>
    <w:rsid w:val="009001A7"/>
    <w:rsid w:val="00903BD8"/>
    <w:rsid w:val="00906220"/>
    <w:rsid w:val="00907919"/>
    <w:rsid w:val="00910497"/>
    <w:rsid w:val="0091078B"/>
    <w:rsid w:val="00923B9D"/>
    <w:rsid w:val="00924B86"/>
    <w:rsid w:val="00933DB7"/>
    <w:rsid w:val="00934BBE"/>
    <w:rsid w:val="00940BFB"/>
    <w:rsid w:val="00954DB9"/>
    <w:rsid w:val="009606C3"/>
    <w:rsid w:val="00960710"/>
    <w:rsid w:val="00962D87"/>
    <w:rsid w:val="009640B2"/>
    <w:rsid w:val="0096645F"/>
    <w:rsid w:val="0097160F"/>
    <w:rsid w:val="00973EAF"/>
    <w:rsid w:val="009771C2"/>
    <w:rsid w:val="00981A0B"/>
    <w:rsid w:val="009840A2"/>
    <w:rsid w:val="00984EFA"/>
    <w:rsid w:val="00987476"/>
    <w:rsid w:val="009A1EBF"/>
    <w:rsid w:val="009A6C68"/>
    <w:rsid w:val="009B0F52"/>
    <w:rsid w:val="009B7976"/>
    <w:rsid w:val="009C2066"/>
    <w:rsid w:val="009D2F67"/>
    <w:rsid w:val="009E0CD2"/>
    <w:rsid w:val="009E0D32"/>
    <w:rsid w:val="009E3428"/>
    <w:rsid w:val="009E4960"/>
    <w:rsid w:val="009E6A4B"/>
    <w:rsid w:val="009F2703"/>
    <w:rsid w:val="00A07FD7"/>
    <w:rsid w:val="00A120A2"/>
    <w:rsid w:val="00A17509"/>
    <w:rsid w:val="00A31F84"/>
    <w:rsid w:val="00A32DC2"/>
    <w:rsid w:val="00A35DC9"/>
    <w:rsid w:val="00A41CB4"/>
    <w:rsid w:val="00A445F6"/>
    <w:rsid w:val="00A45D09"/>
    <w:rsid w:val="00A52FFB"/>
    <w:rsid w:val="00A53C41"/>
    <w:rsid w:val="00A53E2E"/>
    <w:rsid w:val="00A54FAD"/>
    <w:rsid w:val="00A61392"/>
    <w:rsid w:val="00A72BD8"/>
    <w:rsid w:val="00A84440"/>
    <w:rsid w:val="00A87606"/>
    <w:rsid w:val="00A94BAC"/>
    <w:rsid w:val="00A96D3A"/>
    <w:rsid w:val="00AA1199"/>
    <w:rsid w:val="00AA5851"/>
    <w:rsid w:val="00AA5BC8"/>
    <w:rsid w:val="00AC08BB"/>
    <w:rsid w:val="00AC5CF9"/>
    <w:rsid w:val="00AD1926"/>
    <w:rsid w:val="00AE1384"/>
    <w:rsid w:val="00AE4719"/>
    <w:rsid w:val="00AF5CFA"/>
    <w:rsid w:val="00B10ED3"/>
    <w:rsid w:val="00B11005"/>
    <w:rsid w:val="00B16866"/>
    <w:rsid w:val="00B33C0C"/>
    <w:rsid w:val="00B34636"/>
    <w:rsid w:val="00B40D25"/>
    <w:rsid w:val="00B41AEA"/>
    <w:rsid w:val="00B43E25"/>
    <w:rsid w:val="00B62640"/>
    <w:rsid w:val="00B64E2A"/>
    <w:rsid w:val="00B701DB"/>
    <w:rsid w:val="00B71C58"/>
    <w:rsid w:val="00B80DC9"/>
    <w:rsid w:val="00B81F44"/>
    <w:rsid w:val="00B846B3"/>
    <w:rsid w:val="00B87D09"/>
    <w:rsid w:val="00BB05A1"/>
    <w:rsid w:val="00BB0F50"/>
    <w:rsid w:val="00BB199D"/>
    <w:rsid w:val="00BC1730"/>
    <w:rsid w:val="00BC4E78"/>
    <w:rsid w:val="00BD2727"/>
    <w:rsid w:val="00BE540D"/>
    <w:rsid w:val="00BF56AC"/>
    <w:rsid w:val="00C041E1"/>
    <w:rsid w:val="00C05DFE"/>
    <w:rsid w:val="00C171F5"/>
    <w:rsid w:val="00C22847"/>
    <w:rsid w:val="00C24158"/>
    <w:rsid w:val="00C24F0D"/>
    <w:rsid w:val="00C25E4E"/>
    <w:rsid w:val="00C27F87"/>
    <w:rsid w:val="00C44D85"/>
    <w:rsid w:val="00C6133D"/>
    <w:rsid w:val="00C61DC8"/>
    <w:rsid w:val="00C700DB"/>
    <w:rsid w:val="00C80A9F"/>
    <w:rsid w:val="00C81DB5"/>
    <w:rsid w:val="00C82EAB"/>
    <w:rsid w:val="00C838D1"/>
    <w:rsid w:val="00C84D34"/>
    <w:rsid w:val="00C909B1"/>
    <w:rsid w:val="00C94062"/>
    <w:rsid w:val="00CA4CC9"/>
    <w:rsid w:val="00CA636A"/>
    <w:rsid w:val="00CA7F9A"/>
    <w:rsid w:val="00CB48BA"/>
    <w:rsid w:val="00CB52AD"/>
    <w:rsid w:val="00CC0793"/>
    <w:rsid w:val="00CC0DC0"/>
    <w:rsid w:val="00CC0E57"/>
    <w:rsid w:val="00CC1B36"/>
    <w:rsid w:val="00CC71CD"/>
    <w:rsid w:val="00CD2AF2"/>
    <w:rsid w:val="00CD65EA"/>
    <w:rsid w:val="00CF5061"/>
    <w:rsid w:val="00CF65AB"/>
    <w:rsid w:val="00D04C6B"/>
    <w:rsid w:val="00D07FC1"/>
    <w:rsid w:val="00D120DE"/>
    <w:rsid w:val="00D317D8"/>
    <w:rsid w:val="00D4299F"/>
    <w:rsid w:val="00D452A9"/>
    <w:rsid w:val="00D61162"/>
    <w:rsid w:val="00D6179B"/>
    <w:rsid w:val="00D6794A"/>
    <w:rsid w:val="00D73F8C"/>
    <w:rsid w:val="00D744AA"/>
    <w:rsid w:val="00D75C1E"/>
    <w:rsid w:val="00D7623B"/>
    <w:rsid w:val="00D81DC0"/>
    <w:rsid w:val="00D828C2"/>
    <w:rsid w:val="00D83BE6"/>
    <w:rsid w:val="00D859C3"/>
    <w:rsid w:val="00D86C3B"/>
    <w:rsid w:val="00D874BA"/>
    <w:rsid w:val="00DB048F"/>
    <w:rsid w:val="00DB3410"/>
    <w:rsid w:val="00DB7F45"/>
    <w:rsid w:val="00DC111B"/>
    <w:rsid w:val="00DC4499"/>
    <w:rsid w:val="00DC50D3"/>
    <w:rsid w:val="00DC612C"/>
    <w:rsid w:val="00DC7F41"/>
    <w:rsid w:val="00DD1E5E"/>
    <w:rsid w:val="00DD5809"/>
    <w:rsid w:val="00DF3DBF"/>
    <w:rsid w:val="00E034B6"/>
    <w:rsid w:val="00E07B6C"/>
    <w:rsid w:val="00E1751C"/>
    <w:rsid w:val="00E20EF9"/>
    <w:rsid w:val="00E22990"/>
    <w:rsid w:val="00E26885"/>
    <w:rsid w:val="00E31832"/>
    <w:rsid w:val="00E3327A"/>
    <w:rsid w:val="00E33C2A"/>
    <w:rsid w:val="00E3580F"/>
    <w:rsid w:val="00E372A6"/>
    <w:rsid w:val="00E50DAA"/>
    <w:rsid w:val="00E528CF"/>
    <w:rsid w:val="00E555D6"/>
    <w:rsid w:val="00E71D5C"/>
    <w:rsid w:val="00E75313"/>
    <w:rsid w:val="00E77076"/>
    <w:rsid w:val="00E810B1"/>
    <w:rsid w:val="00E8692D"/>
    <w:rsid w:val="00EA66D0"/>
    <w:rsid w:val="00EB150B"/>
    <w:rsid w:val="00EB5366"/>
    <w:rsid w:val="00EB57E5"/>
    <w:rsid w:val="00EB6EE8"/>
    <w:rsid w:val="00EC0EE7"/>
    <w:rsid w:val="00EC5FF3"/>
    <w:rsid w:val="00ED0536"/>
    <w:rsid w:val="00ED1A51"/>
    <w:rsid w:val="00EF0017"/>
    <w:rsid w:val="00F05517"/>
    <w:rsid w:val="00F12DAF"/>
    <w:rsid w:val="00F14DD9"/>
    <w:rsid w:val="00F17459"/>
    <w:rsid w:val="00F33734"/>
    <w:rsid w:val="00F35062"/>
    <w:rsid w:val="00F37950"/>
    <w:rsid w:val="00F41A9D"/>
    <w:rsid w:val="00F42B83"/>
    <w:rsid w:val="00F52C00"/>
    <w:rsid w:val="00F6006E"/>
    <w:rsid w:val="00F63642"/>
    <w:rsid w:val="00F6659E"/>
    <w:rsid w:val="00F75206"/>
    <w:rsid w:val="00F9119D"/>
    <w:rsid w:val="00F96AC8"/>
    <w:rsid w:val="00FA13B9"/>
    <w:rsid w:val="00FA6EED"/>
    <w:rsid w:val="00FB1387"/>
    <w:rsid w:val="00FB5BE9"/>
    <w:rsid w:val="00FC7671"/>
    <w:rsid w:val="00FD3409"/>
    <w:rsid w:val="00FD5BC6"/>
    <w:rsid w:val="00FD7BE5"/>
    <w:rsid w:val="00FE20E3"/>
    <w:rsid w:val="00FE29F2"/>
    <w:rsid w:val="00FE2EF1"/>
    <w:rsid w:val="00FE5EB6"/>
    <w:rsid w:val="00FF1258"/>
    <w:rsid w:val="23D85051"/>
    <w:rsid w:val="42A02284"/>
    <w:rsid w:val="51F9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77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77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776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776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77662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7766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F2E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2E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2942</Characters>
  <Application>Microsoft Office Word</Application>
  <DocSecurity>0</DocSecurity>
  <Lines>24</Lines>
  <Paragraphs>6</Paragraphs>
  <ScaleCrop>false</ScaleCrop>
  <Company>Sky123.Org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赵磊</dc:creator>
  <cp:lastModifiedBy>姜转宏</cp:lastModifiedBy>
  <cp:revision>2</cp:revision>
  <cp:lastPrinted>2018-01-03T03:34:00Z</cp:lastPrinted>
  <dcterms:created xsi:type="dcterms:W3CDTF">2018-01-04T05:52:00Z</dcterms:created>
  <dcterms:modified xsi:type="dcterms:W3CDTF">2018-01-04T05:52:00Z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