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body>
    <w:p>
      <w:pPr>
        <w:pStyle w:val="style0"/>
        <w:rPr/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lineRule="exact" w:line="700"/>
        <w:jc w:val="center"/>
        <w:textAlignment w:val="auto"/>
        <w:rPr>
          <w:rFonts w:ascii="方正小标宋简体" w:cs="黑体" w:eastAsia="方正小标宋简体" w:hAnsi="黑体" w:hint="eastAsia"/>
          <w:bCs/>
          <w:color w:val="222222"/>
          <w:spacing w:val="7"/>
          <w:sz w:val="44"/>
          <w:szCs w:val="44"/>
          <w:shd w:val="clear" w:color="auto" w:fill="ffffff"/>
        </w:rPr>
      </w:pPr>
      <w:r>
        <w:rPr>
          <w:rFonts w:ascii="方正小标宋简体" w:cs="黑体" w:eastAsia="方正小标宋简体" w:hAnsi="黑体" w:hint="eastAsia"/>
          <w:bCs/>
          <w:color w:val="222222"/>
          <w:spacing w:val="7"/>
          <w:sz w:val="44"/>
          <w:szCs w:val="44"/>
          <w:shd w:val="clear" w:color="auto" w:fill="ffffff"/>
          <w:lang w:eastAsia="zh-CN"/>
        </w:rPr>
        <w:t>农林高校在</w:t>
      </w:r>
      <w:r>
        <w:rPr>
          <w:rFonts w:ascii="方正小标宋简体" w:cs="黑体" w:eastAsia="方正小标宋简体" w:hAnsi="黑体" w:hint="eastAsia"/>
          <w:bCs/>
          <w:color w:val="222222"/>
          <w:spacing w:val="7"/>
          <w:sz w:val="44"/>
          <w:szCs w:val="44"/>
          <w:shd w:val="clear" w:color="auto" w:fill="ffffff"/>
        </w:rPr>
        <w:t>武书连2022中国大学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after="313" w:afterLines="100" w:lineRule="exact" w:line="700"/>
        <w:jc w:val="center"/>
        <w:textAlignment w:val="auto"/>
        <w:rPr>
          <w:rFonts w:ascii="方正小标宋简体" w:cs="黑体" w:eastAsia="方正小标宋简体" w:hAnsi="黑体" w:hint="eastAsia"/>
          <w:sz w:val="44"/>
          <w:szCs w:val="44"/>
          <w:lang w:eastAsia="zh-CN"/>
        </w:rPr>
      </w:pPr>
      <w:r>
        <w:rPr>
          <w:rFonts w:ascii="方正小标宋简体" w:cs="黑体" w:eastAsia="方正小标宋简体" w:hAnsi="黑体" w:hint="eastAsia"/>
          <w:bCs/>
          <w:color w:val="222222"/>
          <w:spacing w:val="7"/>
          <w:sz w:val="44"/>
          <w:szCs w:val="44"/>
          <w:shd w:val="clear" w:color="auto" w:fill="ffffff"/>
        </w:rPr>
        <w:t>学科门类排行榜</w:t>
      </w:r>
      <w:r>
        <w:rPr>
          <w:rFonts w:ascii="方正小标宋简体" w:cs="黑体" w:eastAsia="方正小标宋简体" w:hAnsi="黑体" w:hint="eastAsia"/>
          <w:bCs/>
          <w:color w:val="222222"/>
          <w:spacing w:val="7"/>
          <w:sz w:val="44"/>
          <w:szCs w:val="44"/>
          <w:shd w:val="clear" w:color="auto" w:fill="ffffff"/>
          <w:lang w:eastAsia="zh-CN"/>
        </w:rPr>
        <w:t>的表现</w:t>
      </w:r>
    </w:p>
    <w:p>
      <w:pPr>
        <w:pStyle w:val="style0"/>
        <w:ind w:firstLine="628" w:firstLineChars="200"/>
        <w:jc w:val="left"/>
        <w:rPr>
          <w:rFonts w:ascii="Times New Roman" w:cs="Times New Roman" w:eastAsia="仿宋_GB2312" w:hAnsi="Times New Roman"/>
          <w:color w:val="222222"/>
          <w:spacing w:val="7"/>
          <w:sz w:val="30"/>
          <w:szCs w:val="30"/>
          <w:shd w:val="clear" w:color="auto" w:fill="ffffff"/>
        </w:rPr>
      </w:pPr>
      <w:r>
        <w:rPr>
          <w:rFonts w:ascii="Times New Roman" w:cs="Times New Roman" w:eastAsia="仿宋_GB2312" w:hAnsi="Times New Roman"/>
          <w:color w:val="222222"/>
          <w:spacing w:val="7"/>
          <w:sz w:val="30"/>
          <w:szCs w:val="30"/>
          <w:shd w:val="clear" w:color="auto" w:fill="ffffff"/>
        </w:rPr>
        <w:t>5月26日</w:t>
      </w:r>
      <w:r>
        <w:rPr>
          <w:rFonts w:ascii="Times New Roman" w:cs="Times New Roman" w:eastAsia="仿宋_GB2312" w:hAnsi="Times New Roman" w:hint="eastAsia"/>
          <w:color w:val="222222"/>
          <w:spacing w:val="7"/>
          <w:sz w:val="30"/>
          <w:szCs w:val="30"/>
          <w:shd w:val="clear" w:color="auto" w:fill="ffffff"/>
        </w:rPr>
        <w:t>，</w:t>
      </w:r>
      <w:r>
        <w:rPr>
          <w:rFonts w:ascii="Times New Roman" w:cs="Times New Roman" w:eastAsia="仿宋_GB2312" w:hAnsi="Times New Roman"/>
          <w:color w:val="222222"/>
          <w:spacing w:val="7"/>
          <w:sz w:val="30"/>
          <w:szCs w:val="30"/>
          <w:shd w:val="clear" w:color="auto" w:fill="ffffff"/>
        </w:rPr>
        <w:t>武书连2022中国大学学科门类排行榜</w:t>
      </w:r>
      <w:r>
        <w:rPr>
          <w:rFonts w:ascii="Times New Roman" w:cs="Times New Roman" w:eastAsia="仿宋_GB2312" w:hAnsi="Times New Roman" w:hint="eastAsia"/>
          <w:color w:val="222222"/>
          <w:spacing w:val="7"/>
          <w:sz w:val="30"/>
          <w:szCs w:val="30"/>
          <w:shd w:val="clear" w:color="auto" w:fill="ffffff"/>
        </w:rPr>
        <w:t>正式发布，</w:t>
      </w:r>
      <w:r>
        <w:rPr>
          <w:rFonts w:ascii="Times New Roman" w:cs="Times New Roman" w:eastAsia="仿宋_GB2312" w:hAnsi="Times New Roman"/>
          <w:color w:val="222222"/>
          <w:spacing w:val="7"/>
          <w:sz w:val="30"/>
          <w:szCs w:val="30"/>
          <w:shd w:val="clear" w:color="auto" w:fill="ffffff"/>
        </w:rPr>
        <w:t>包括自然科学排行榜、社会科学排行榜</w:t>
      </w:r>
      <w:r>
        <w:rPr>
          <w:rFonts w:ascii="Times New Roman" w:cs="Times New Roman" w:eastAsia="仿宋_GB2312" w:hAnsi="Times New Roman" w:hint="eastAsia"/>
          <w:color w:val="222222"/>
          <w:spacing w:val="7"/>
          <w:sz w:val="30"/>
          <w:szCs w:val="30"/>
          <w:shd w:val="clear" w:color="auto" w:fill="ffffff"/>
        </w:rPr>
        <w:t>，以及12个学科门类的排行榜</w:t>
      </w:r>
      <w:r>
        <w:rPr>
          <w:rFonts w:ascii="Times New Roman" w:cs="Times New Roman" w:eastAsia="仿宋_GB2312" w:hAnsi="Times New Roman"/>
          <w:color w:val="222222"/>
          <w:spacing w:val="7"/>
          <w:sz w:val="30"/>
          <w:szCs w:val="30"/>
          <w:shd w:val="clear" w:color="auto" w:fill="ffffff"/>
        </w:rPr>
        <w:t>。</w:t>
      </w:r>
      <w:r>
        <w:rPr>
          <w:rFonts w:ascii="Times New Roman" w:cs="Times New Roman" w:eastAsia="仿宋_GB2312" w:hAnsi="Times New Roman" w:hint="eastAsia"/>
          <w:color w:val="222222"/>
          <w:spacing w:val="7"/>
          <w:sz w:val="30"/>
          <w:szCs w:val="30"/>
          <w:shd w:val="clear" w:color="auto" w:fill="ffffff"/>
        </w:rPr>
        <w:t>该排行榜的</w:t>
      </w:r>
      <w:r>
        <w:rPr>
          <w:rFonts w:ascii="Times New Roman" w:cs="Times New Roman" w:eastAsia="仿宋_GB2312" w:hAnsi="Times New Roman"/>
          <w:color w:val="222222"/>
          <w:spacing w:val="7"/>
          <w:sz w:val="30"/>
          <w:szCs w:val="30"/>
          <w:shd w:val="clear" w:color="auto" w:fill="ffffff"/>
        </w:rPr>
        <w:t>等级划分标准</w:t>
      </w:r>
      <w:r>
        <w:rPr>
          <w:rFonts w:ascii="Times New Roman" w:cs="Times New Roman" w:eastAsia="仿宋_GB2312" w:hAnsi="Times New Roman" w:hint="eastAsia"/>
          <w:color w:val="222222"/>
          <w:spacing w:val="7"/>
          <w:sz w:val="30"/>
          <w:szCs w:val="30"/>
          <w:shd w:val="clear" w:color="auto" w:fill="ffffff"/>
        </w:rPr>
        <w:t>见表1，主要农林高校在自然科学和社会科学排行榜的表现情况见表2、表3，在农学、工学、理学、管理学、法学、经济学</w:t>
      </w:r>
      <w:r>
        <w:rPr>
          <w:rFonts w:ascii="Times New Roman" w:cs="Times New Roman" w:eastAsia="仿宋_GB2312" w:hAnsi="Times New Roman" w:hint="eastAsia"/>
          <w:color w:val="222222"/>
          <w:spacing w:val="7"/>
          <w:sz w:val="30"/>
          <w:szCs w:val="30"/>
          <w:shd w:val="clear" w:color="auto" w:fill="ffffff"/>
          <w:lang w:eastAsia="zh-CN"/>
        </w:rPr>
        <w:t>、文学</w:t>
      </w:r>
      <w:r>
        <w:rPr>
          <w:rFonts w:ascii="Times New Roman" w:cs="Times New Roman" w:eastAsia="仿宋_GB2312" w:hAnsi="Times New Roman" w:hint="eastAsia"/>
          <w:color w:val="222222"/>
          <w:spacing w:val="7"/>
          <w:sz w:val="30"/>
          <w:szCs w:val="30"/>
          <w:shd w:val="clear" w:color="auto" w:fill="ffffff"/>
        </w:rPr>
        <w:t>等学科门类的排名情况见表4-表</w:t>
      </w:r>
      <w:r>
        <w:rPr>
          <w:rFonts w:ascii="Times New Roman" w:cs="Times New Roman" w:eastAsia="仿宋_GB2312" w:hAnsi="Times New Roman" w:hint="eastAsia"/>
          <w:color w:val="222222"/>
          <w:spacing w:val="7"/>
          <w:sz w:val="30"/>
          <w:szCs w:val="30"/>
          <w:shd w:val="clear" w:color="auto" w:fill="ffffff"/>
          <w:lang w:val="en-US" w:eastAsia="zh-CN"/>
        </w:rPr>
        <w:t>10</w:t>
      </w:r>
      <w:r>
        <w:rPr>
          <w:rFonts w:ascii="Times New Roman" w:cs="Times New Roman" w:eastAsia="仿宋_GB2312" w:hAnsi="Times New Roman"/>
          <w:color w:val="222222"/>
          <w:spacing w:val="7"/>
          <w:sz w:val="30"/>
          <w:szCs w:val="30"/>
          <w:shd w:val="clear" w:color="auto" w:fill="ffffff"/>
        </w:rPr>
        <w:t>。 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/>
        <w:ind w:firstLine="588" w:firstLineChars="200"/>
        <w:jc w:val="center"/>
        <w:textAlignment w:val="auto"/>
        <w:rPr>
          <w:rFonts w:ascii="黑体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黑体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>表1  武书连2022年学科门类排行榜等级标准</w:t>
      </w:r>
    </w:p>
    <w:tbl>
      <w:tblPr>
        <w:tblStyle w:val="style105"/>
        <w:tblW w:w="8338" w:type="dxa"/>
        <w:jc w:val="center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13"/>
        <w:gridCol w:w="1380"/>
        <w:gridCol w:w="3605"/>
        <w:gridCol w:w="2040"/>
      </w:tblGrid>
      <w:tr>
        <w:trPr>
          <w:trHeight w:val="549" w:hRule="atLeast"/>
          <w:jc w:val="center"/>
        </w:trPr>
        <w:tc>
          <w:tcPr>
            <w:tcW w:w="13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黑体" w:cs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黑体" w:cs="Times New Roman" w:eastAsia="黑体" w:hAnsi="Times New Roman" w:hint="eastAsia"/>
                <w:bCs/>
                <w:color w:val="000000"/>
                <w:sz w:val="24"/>
              </w:rPr>
              <w:t>档位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黑体" w:cs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黑体" w:cs="Times New Roman" w:eastAsia="黑体" w:hAnsi="Times New Roman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黑体" w:cs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黑体" w:cs="Times New Roman" w:eastAsia="黑体" w:hAnsi="Times New Roman" w:hint="eastAsia"/>
                <w:bCs/>
                <w:color w:val="000000"/>
                <w:kern w:val="0"/>
                <w:sz w:val="24"/>
              </w:rPr>
              <w:t>等级标准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黑体" w:cs="Times New Roman" w:eastAsia="黑体" w:hAnsi="Times New Roman"/>
                <w:bCs/>
                <w:color w:val="000000"/>
                <w:sz w:val="24"/>
              </w:rPr>
            </w:pPr>
            <w:r>
              <w:rPr>
                <w:rFonts w:ascii="黑体" w:cs="Times New Roman" w:eastAsia="黑体" w:hAnsi="Times New Roman" w:hint="eastAsia"/>
                <w:bCs/>
                <w:color w:val="000000"/>
                <w:kern w:val="0"/>
                <w:sz w:val="24"/>
              </w:rPr>
              <w:t>等级百分比</w:t>
            </w: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前</w:t>
            </w:r>
            <w:r>
              <w:rPr>
                <w:rStyle w:val="style4098"/>
                <w:rFonts w:ascii="Times New Roman" w:cs="Times New Roman" w:eastAsia="宋体" w:hAnsi="Times New Roman"/>
              </w:rPr>
              <w:t>2%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10%</w:t>
            </w: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2%~5%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5%~10%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10%~20%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20%</w:t>
            </w: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20%~30%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C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C+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30%~40%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20%</w:t>
            </w: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40%~50%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D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D+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50%~60%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20%</w:t>
            </w: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D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60%~70%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</w:tr>
      <w:tr>
        <w:tblPrEx/>
        <w:trPr>
          <w:trHeight w:val="549" w:hRule="atLeast"/>
          <w:jc w:val="center"/>
        </w:trPr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E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等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E+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70%~85%</w:t>
            </w:r>
            <w:r>
              <w:rPr>
                <w:rStyle w:val="style4097"/>
                <w:rFonts w:ascii="Times New Roman" w:cs="Times New Roman" w:eastAsia="宋体" w:hAnsi="Times New Roman" w:hint="default"/>
              </w:rPr>
              <w:t>（含）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30%</w:t>
            </w:r>
          </w:p>
        </w:tc>
      </w:tr>
      <w:tr>
        <w:tblPrEx/>
        <w:trPr>
          <w:trHeight w:val="585" w:hRule="atLeast"/>
          <w:jc w:val="center"/>
        </w:trPr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E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后</w:t>
            </w:r>
            <w:r>
              <w:rPr>
                <w:rStyle w:val="style4098"/>
                <w:rFonts w:ascii="Times New Roman" w:cs="Times New Roman" w:eastAsia="宋体" w:hAnsi="Times New Roman"/>
              </w:rPr>
              <w:t>15%</w:t>
            </w:r>
          </w:p>
        </w:tc>
        <w:tc>
          <w:tcPr>
            <w:tcW w:w="0" w:type="auto"/>
            <w:vMerge w:val="continue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spacing w:lineRule="exact" w:line="400"/>
              <w:jc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/>
        <w:jc w:val="center"/>
        <w:textAlignment w:val="auto"/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/>
        <w:jc w:val="center"/>
        <w:textAlignment w:val="auto"/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表2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 xml:space="preserve">  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武书连2022年自然科学</w:t>
      </w:r>
      <w:r>
        <w:rPr>
          <w:rFonts w:ascii="Times New Roman" w:cs="Times New Roman" w:eastAsia="黑体" w:hAnsi="Times New Roman"/>
          <w:color w:val="000000"/>
          <w:kern w:val="0"/>
          <w:sz w:val="28"/>
          <w:szCs w:val="28"/>
        </w:rPr>
        <w:t>（理学、工学、农学、医学）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排行榜</w:t>
      </w:r>
    </w:p>
    <w:tbl>
      <w:tblPr>
        <w:tblStyle w:val="style105"/>
        <w:tblW w:w="8298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9"/>
        <w:gridCol w:w="1656"/>
        <w:gridCol w:w="3216"/>
        <w:gridCol w:w="1787"/>
      </w:tblGrid>
      <w:tr>
        <w:trPr>
          <w:trHeight w:val="638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全国位次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Times New Roman" w:eastAsia="黑体" w:hAnsi="Times New Roman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/>
        <w:trPr>
          <w:trHeight w:val="494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30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lang w:eastAsia="zh-CN"/>
              </w:rPr>
            </w:pPr>
          </w:p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lang w:eastAsia="zh-CN"/>
              </w:rPr>
              <w:t>实际公布排名</w:t>
            </w:r>
          </w:p>
        </w:tc>
      </w:tr>
      <w:tr>
        <w:tblPrEx/>
        <w:trPr>
          <w:trHeight w:val="50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31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lang w:eastAsia="zh-CN"/>
              </w:rPr>
            </w:pPr>
          </w:p>
        </w:tc>
      </w:tr>
      <w:tr>
        <w:tblPrEx/>
        <w:trPr>
          <w:trHeight w:val="50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46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17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4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49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17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0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7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0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178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根据公布顺序推算排名</w:t>
            </w:r>
          </w:p>
        </w:tc>
      </w:tr>
      <w:tr>
        <w:tblPrEx/>
        <w:trPr>
          <w:trHeight w:val="50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86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7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50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94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0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178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11" w:hRule="atLeast"/>
        </w:trPr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178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lineRule="exact" w:line="500"/>
        <w:jc w:val="center"/>
        <w:textAlignment w:val="auto"/>
        <w:rPr>
          <w:rFonts w:ascii="黑体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黑体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 xml:space="preserve">表3  武书连2022年社会科学（文、史、哲、经、法、教育、     </w:t>
      </w:r>
    </w:p>
    <w:p>
      <w:pPr>
        <w:pStyle w:val="style0"/>
        <w:spacing w:afterLines="20" w:lineRule="exact" w:line="500"/>
        <w:jc w:val="center"/>
        <w:rPr>
          <w:rFonts w:ascii="黑体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黑体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>管理学、艺术）排行榜</w:t>
      </w:r>
    </w:p>
    <w:tbl>
      <w:tblPr>
        <w:tblStyle w:val="style105"/>
        <w:tblW w:w="827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08"/>
        <w:gridCol w:w="3228"/>
        <w:gridCol w:w="1776"/>
      </w:tblGrid>
      <w:tr>
        <w:trPr>
          <w:trHeight w:val="491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排名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71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lang w:eastAsia="zh-CN"/>
              </w:rPr>
              <w:t>实际公布排名</w:t>
            </w: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84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17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根据公布顺序推算排名</w:t>
            </w: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107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118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17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129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17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150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7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179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7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190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湖南农业大学</w:t>
            </w:r>
          </w:p>
        </w:tc>
        <w:tc>
          <w:tcPr>
            <w:tcW w:w="17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191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9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199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1776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223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1776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</w:tbl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/>
        <w:jc w:val="center"/>
        <w:textAlignment w:val="auto"/>
        <w:rPr>
          <w:rFonts w:ascii="Times New Roman" w:cs="Times New Roman" w:eastAsia="宋体" w:hAnsi="Times New Roman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表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 xml:space="preserve">4  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武书连2022年农学排行榜</w:t>
      </w:r>
    </w:p>
    <w:tbl>
      <w:tblPr>
        <w:tblStyle w:val="style105"/>
        <w:tblW w:w="8287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63"/>
        <w:gridCol w:w="1620"/>
        <w:gridCol w:w="3240"/>
        <w:gridCol w:w="1764"/>
      </w:tblGrid>
      <w:tr>
        <w:trPr>
          <w:trHeight w:val="566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全国位次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lang w:eastAsia="zh-CN"/>
              </w:rPr>
              <w:t>实际公布排名</w:t>
            </w: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3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4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5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7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8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9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山东农业大学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6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11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东北农业大学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</w:pPr>
          </w:p>
        </w:tc>
      </w:tr>
      <w:tr>
        <w:tblPrEx/>
        <w:trPr>
          <w:trHeight w:val="478" w:hRule="atLeast"/>
        </w:trPr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20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推算排名</w:t>
            </w:r>
          </w:p>
        </w:tc>
      </w:tr>
    </w:tbl>
    <w:p>
      <w:pPr>
        <w:pStyle w:val="style0"/>
        <w:spacing w:lineRule="auto" w:line="360"/>
        <w:ind w:firstLine="508" w:firstLineChars="200"/>
        <w:rPr>
          <w:rFonts w:ascii="楷体_GB2312" w:cs="Times New Roman" w:eastAsia="楷体_GB2312" w:hAnsi="Times New Roman"/>
          <w:b/>
          <w:bCs/>
          <w:color w:val="222222"/>
          <w:spacing w:val="7"/>
          <w:sz w:val="24"/>
          <w:shd w:val="clear" w:color="auto" w:fill="ffffff"/>
        </w:rPr>
      </w:pPr>
      <w:r>
        <w:rPr>
          <w:rFonts w:ascii="楷体_GB2312" w:cs="Times New Roman" w:eastAsia="楷体_GB2312" w:hAnsi="Times New Roman" w:hint="eastAsia"/>
          <w:color w:val="222222"/>
          <w:spacing w:val="7"/>
          <w:sz w:val="24"/>
          <w:shd w:val="clear" w:color="auto" w:fill="ffffff"/>
        </w:rPr>
        <w:t>注：</w:t>
      </w:r>
      <w:r>
        <w:rPr>
          <w:rFonts w:ascii="楷体_GB2312" w:cs="Times New Roman" w:eastAsia="楷体_GB2312" w:hAnsi="Times New Roman" w:hint="eastAsia"/>
          <w:b/>
          <w:bCs/>
          <w:color w:val="222222"/>
          <w:spacing w:val="7"/>
          <w:sz w:val="24"/>
          <w:shd w:val="clear" w:color="auto" w:fill="ffffff"/>
        </w:rPr>
        <w:t>农学</w:t>
      </w:r>
      <w:r>
        <w:rPr>
          <w:rFonts w:ascii="楷体_GB2312" w:cs="Times New Roman" w:eastAsia="楷体_GB2312" w:hAnsi="Times New Roman" w:hint="eastAsia"/>
          <w:color w:val="222222"/>
          <w:spacing w:val="7"/>
          <w:sz w:val="24"/>
          <w:shd w:val="clear" w:color="auto" w:fill="ffffff"/>
        </w:rPr>
        <w:t>包括植物生产、自然保护与环境生态、动物生产、动物医学、林学、水产、草学等7个专业类，共有46个目录内本科专业。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/>
        <w:jc w:val="center"/>
        <w:textAlignment w:val="auto"/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表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 xml:space="preserve">5   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武书连2022年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>工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学排行榜</w:t>
      </w:r>
    </w:p>
    <w:tbl>
      <w:tblPr>
        <w:tblStyle w:val="style105"/>
        <w:tblW w:w="8299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51"/>
        <w:gridCol w:w="1632"/>
        <w:gridCol w:w="3252"/>
        <w:gridCol w:w="1764"/>
      </w:tblGrid>
      <w:tr>
        <w:trPr>
          <w:trHeight w:val="482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全国位次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7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/>
        <w:trPr>
          <w:trHeight w:val="457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68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6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根据公布顺序推算排名</w:t>
            </w:r>
          </w:p>
        </w:tc>
      </w:tr>
      <w:tr>
        <w:tblPrEx/>
        <w:trPr>
          <w:trHeight w:val="400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32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57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116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08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07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43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126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56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145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44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东北农业大学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17" w:hRule="atLeast"/>
        </w:trPr>
        <w:tc>
          <w:tcPr>
            <w:tcW w:w="1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159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6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</w:tbl>
    <w:p>
      <w:pPr>
        <w:pStyle w:val="style0"/>
        <w:spacing w:lineRule="auto" w:line="360"/>
        <w:ind w:firstLine="510" w:firstLineChars="200"/>
        <w:rPr>
          <w:rFonts w:ascii="楷体_GB2312" w:cs="Times New Roman" w:eastAsia="楷体_GB2312" w:hAnsi="Times New Roman"/>
          <w:color w:val="222222"/>
          <w:spacing w:val="7"/>
          <w:sz w:val="24"/>
          <w:shd w:val="clear" w:color="auto" w:fill="ffffff"/>
        </w:rPr>
      </w:pPr>
      <w:r>
        <w:rPr>
          <w:rFonts w:ascii="楷体_GB2312" w:cs="Times New Roman" w:eastAsia="楷体_GB2312" w:hAnsi="Times New Roman" w:hint="eastAsia"/>
          <w:b/>
          <w:bCs/>
          <w:color w:val="222222"/>
          <w:spacing w:val="7"/>
          <w:sz w:val="24"/>
          <w:shd w:val="clear" w:color="auto" w:fill="ffffff"/>
        </w:rPr>
        <w:t>注：工学</w:t>
      </w:r>
      <w:r>
        <w:rPr>
          <w:rFonts w:ascii="楷体_GB2312" w:cs="Times New Roman" w:eastAsia="楷体_GB2312" w:hAnsi="Times New Roman" w:hint="eastAsia"/>
          <w:color w:val="222222"/>
          <w:spacing w:val="7"/>
          <w:sz w:val="24"/>
          <w:shd w:val="clear" w:color="auto" w:fill="ffffff"/>
        </w:rPr>
        <w:t>包括力学、机械、仪器、材料、能源动力、电气、电子信息、自动化、计算机、土木、水利、测绘、化工与制药、地质、矿业、纺织、轻工、交通运输、海洋工程、航空航天、兵器、核工程、农业工程、林业工程、环境科学与工程、生物医学工程、食品科学与工程、建筑、安全科学与工程、生物工程、公安技术等31个专业类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lineRule="auto" w:line="360"/>
        <w:ind w:firstLine="0" w:firstLineChars="0"/>
        <w:jc w:val="center"/>
        <w:textAlignment w:val="auto"/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表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 xml:space="preserve">6  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武书连2022年理学排行榜</w:t>
      </w:r>
    </w:p>
    <w:tbl>
      <w:tblPr>
        <w:tblStyle w:val="style105"/>
        <w:tblW w:w="828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75"/>
        <w:gridCol w:w="1608"/>
        <w:gridCol w:w="3252"/>
        <w:gridCol w:w="1752"/>
      </w:tblGrid>
      <w:tr>
        <w:trPr>
          <w:trHeight w:val="560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全国位次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/>
        <w:trPr>
          <w:trHeight w:val="560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根据公布顺序推算排名</w:t>
            </w:r>
          </w:p>
        </w:tc>
      </w:tr>
      <w:tr>
        <w:tblPrEx/>
        <w:trPr>
          <w:trHeight w:val="560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71</w:t>
            </w:r>
            <w:bookmarkStart w:id="0" w:name="_GoBack"/>
            <w:bookmarkEnd w:id="0"/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60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72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60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90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33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95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60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60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111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60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120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70" w:hRule="atLeast"/>
        </w:trPr>
        <w:tc>
          <w:tcPr>
            <w:tcW w:w="167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125</w:t>
            </w:r>
          </w:p>
        </w:tc>
        <w:tc>
          <w:tcPr>
            <w:tcW w:w="1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</w:tbl>
    <w:p>
      <w:pPr>
        <w:pStyle w:val="style0"/>
        <w:spacing w:beforeLines="100" w:lineRule="auto" w:line="360"/>
        <w:jc w:val="center"/>
        <w:rPr>
          <w:rFonts w:ascii="楷体_GB2312" w:cs="Times New Roman" w:eastAsia="楷体_GB2312" w:hAnsi="Times New Roman"/>
          <w:color w:val="222222"/>
          <w:spacing w:val="7"/>
          <w:sz w:val="24"/>
          <w:shd w:val="clear" w:color="auto" w:fill="ffffff"/>
        </w:rPr>
      </w:pPr>
      <w:r>
        <w:rPr>
          <w:rFonts w:ascii="Times New Roman" w:cs="Times New Roman" w:eastAsia="楷体" w:hAnsi="Times New Roman" w:hint="eastAsia"/>
          <w:b/>
          <w:bCs/>
          <w:color w:val="222222"/>
          <w:spacing w:val="7"/>
          <w:sz w:val="24"/>
          <w:shd w:val="clear" w:color="auto" w:fill="ffffff"/>
        </w:rPr>
        <w:t xml:space="preserve"> </w:t>
      </w:r>
      <w:r>
        <w:rPr>
          <w:rFonts w:ascii="Times New Roman" w:cs="Times New Roman" w:eastAsia="楷体" w:hAnsi="Times New Roman" w:hint="eastAsia"/>
          <w:color w:val="222222"/>
          <w:spacing w:val="7"/>
          <w:sz w:val="24"/>
          <w:shd w:val="clear" w:color="auto" w:fill="ffffff"/>
        </w:rPr>
        <w:t xml:space="preserve"> </w:t>
      </w:r>
      <w:r>
        <w:rPr>
          <w:rFonts w:ascii="楷体_GB2312" w:cs="Times New Roman" w:eastAsia="楷体_GB2312" w:hAnsi="Times New Roman" w:hint="eastAsia"/>
          <w:color w:val="222222"/>
          <w:spacing w:val="7"/>
          <w:sz w:val="24"/>
          <w:shd w:val="clear" w:color="auto" w:fill="ffffff"/>
        </w:rPr>
        <w:t>注：</w:t>
      </w:r>
      <w:r>
        <w:rPr>
          <w:rFonts w:ascii="楷体_GB2312" w:cs="Times New Roman" w:eastAsia="楷体_GB2312" w:hAnsi="Times New Roman" w:hint="eastAsia"/>
          <w:b/>
          <w:bCs/>
          <w:color w:val="222222"/>
          <w:spacing w:val="7"/>
          <w:sz w:val="24"/>
          <w:shd w:val="clear" w:color="auto" w:fill="ffffff"/>
        </w:rPr>
        <w:t>理学</w:t>
      </w:r>
      <w:r>
        <w:rPr>
          <w:rFonts w:ascii="楷体_GB2312" w:cs="Times New Roman" w:eastAsia="楷体_GB2312" w:hAnsi="Times New Roman" w:hint="eastAsia"/>
          <w:color w:val="222222"/>
          <w:spacing w:val="7"/>
          <w:sz w:val="24"/>
          <w:shd w:val="clear" w:color="auto" w:fill="ffffff"/>
        </w:rPr>
        <w:t>包括数学、物理学、化学、天文学、地理科学、大气科学、海洋科学、地球物理学、地质学、生物科学、心理学、统计学等12个专业类。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lineRule="auto" w:line="360"/>
        <w:jc w:val="center"/>
        <w:textAlignment w:val="auto"/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表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 xml:space="preserve">7  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武书连2022年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>管理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学排行榜</w:t>
      </w:r>
    </w:p>
    <w:tbl>
      <w:tblPr>
        <w:tblStyle w:val="style105"/>
        <w:tblW w:w="8277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87"/>
        <w:gridCol w:w="1596"/>
        <w:gridCol w:w="3252"/>
        <w:gridCol w:w="1742"/>
      </w:tblGrid>
      <w:tr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全国位次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/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32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lang w:eastAsia="zh-CN"/>
              </w:rPr>
              <w:t>实际公布排名</w:t>
            </w:r>
          </w:p>
        </w:tc>
      </w:tr>
      <w:tr>
        <w:tblPrEx/>
        <w:trPr>
          <w:trHeight w:val="519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37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60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174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根据公布顺序推算排名</w:t>
            </w:r>
          </w:p>
        </w:tc>
      </w:tr>
      <w:tr>
        <w:tblPrEx/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61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82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98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福建农林大学</w:t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114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115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湖南农业大学</w:t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94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134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12" w:hRule="atLeast"/>
        </w:trPr>
        <w:tc>
          <w:tcPr>
            <w:tcW w:w="168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174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</w:tbl>
    <w:p>
      <w:pPr>
        <w:pStyle w:val="style0"/>
        <w:spacing w:lineRule="auto" w:line="360"/>
        <w:ind w:firstLine="508" w:firstLineChars="200"/>
        <w:rPr>
          <w:rFonts w:ascii="楷体_GB2312" w:cs="Times New Roman" w:eastAsia="楷体_GB2312" w:hAnsi="Times New Roman"/>
          <w:color w:val="222222"/>
          <w:spacing w:val="7"/>
          <w:sz w:val="24"/>
          <w:shd w:val="clear" w:color="auto" w:fill="ffffff"/>
        </w:rPr>
      </w:pPr>
      <w:r>
        <w:rPr>
          <w:rFonts w:ascii="楷体_GB2312" w:cs="Times New Roman" w:eastAsia="楷体_GB2312" w:hAnsi="Times New Roman" w:hint="eastAsia"/>
          <w:color w:val="222222"/>
          <w:spacing w:val="7"/>
          <w:sz w:val="24"/>
          <w:shd w:val="clear" w:color="auto" w:fill="ffffff"/>
        </w:rPr>
        <w:t>注：</w:t>
      </w:r>
      <w:r>
        <w:rPr>
          <w:rFonts w:ascii="楷体_GB2312" w:cs="Times New Roman" w:eastAsia="楷体_GB2312" w:hAnsi="Times New Roman" w:hint="eastAsia"/>
          <w:b/>
          <w:bCs/>
          <w:color w:val="222222"/>
          <w:spacing w:val="7"/>
          <w:sz w:val="24"/>
          <w:shd w:val="clear" w:color="auto" w:fill="ffffff"/>
        </w:rPr>
        <w:t>管理学</w:t>
      </w:r>
      <w:r>
        <w:rPr>
          <w:rFonts w:ascii="楷体_GB2312" w:cs="Times New Roman" w:eastAsia="楷体_GB2312" w:hAnsi="Times New Roman" w:hint="eastAsia"/>
          <w:color w:val="222222"/>
          <w:spacing w:val="7"/>
          <w:sz w:val="24"/>
          <w:shd w:val="clear" w:color="auto" w:fill="ffffff"/>
        </w:rPr>
        <w:t>包括管理科学与工程、工商管理、农业经济管理、公共管理、图书情报与档案管理、物流管理与工程等6个专业类，共有63个目录内本科专业。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lineRule="auto" w:line="360"/>
        <w:jc w:val="center"/>
        <w:textAlignment w:val="auto"/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表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 xml:space="preserve">8   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武书连2022年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>法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学排行榜</w:t>
      </w:r>
    </w:p>
    <w:tbl>
      <w:tblPr>
        <w:tblStyle w:val="style105"/>
        <w:tblW w:w="8275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99"/>
        <w:gridCol w:w="1584"/>
        <w:gridCol w:w="3240"/>
        <w:gridCol w:w="1752"/>
      </w:tblGrid>
      <w:tr>
        <w:trPr>
          <w:trHeight w:val="547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全国位次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7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/>
        <w:trPr>
          <w:trHeight w:val="546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73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7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根据公布顺序推算排名</w:t>
            </w:r>
          </w:p>
        </w:tc>
      </w:tr>
      <w:tr>
        <w:tblPrEx/>
        <w:trPr>
          <w:trHeight w:val="546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96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46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46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108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46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162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东北林业大学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46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170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46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193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C+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46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209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C+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四川农业大学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46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220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C+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东北农业大学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64" w:hRule="atLeast"/>
        </w:trPr>
        <w:tc>
          <w:tcPr>
            <w:tcW w:w="16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261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C+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/>
                <w:color w:val="000000"/>
                <w:kern w:val="0"/>
                <w:sz w:val="24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752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</w:tbl>
    <w:p>
      <w:pPr>
        <w:pStyle w:val="style0"/>
        <w:spacing w:lineRule="auto" w:line="360"/>
        <w:ind w:firstLine="508" w:firstLineChars="200"/>
        <w:rPr>
          <w:rFonts w:ascii="楷体_GB2312" w:cs="楷体" w:eastAsia="楷体_GB2312" w:hAnsi="楷体"/>
          <w:color w:val="222222"/>
          <w:spacing w:val="7"/>
          <w:sz w:val="24"/>
          <w:shd w:val="clear" w:color="auto" w:fill="ffffff"/>
        </w:rPr>
      </w:pPr>
      <w:r>
        <w:rPr>
          <w:rFonts w:ascii="楷体_GB2312" w:cs="Times New Roman" w:eastAsia="楷体_GB2312" w:hAnsi="Times New Roman" w:hint="eastAsia"/>
          <w:color w:val="222222"/>
          <w:spacing w:val="7"/>
          <w:sz w:val="24"/>
          <w:shd w:val="clear" w:color="auto" w:fill="ffffff"/>
        </w:rPr>
        <w:t>注：</w:t>
      </w:r>
      <w:r>
        <w:rPr>
          <w:rFonts w:ascii="楷体_GB2312" w:cs="Times New Roman" w:eastAsia="楷体_GB2312" w:hAnsi="Times New Roman" w:hint="eastAsia"/>
          <w:b/>
          <w:bCs/>
          <w:color w:val="222222"/>
          <w:spacing w:val="7"/>
          <w:sz w:val="24"/>
          <w:shd w:val="clear" w:color="auto" w:fill="ffffff"/>
        </w:rPr>
        <w:t>法学</w:t>
      </w:r>
      <w:r>
        <w:rPr>
          <w:rFonts w:ascii="楷体_GB2312" w:cs="楷体" w:eastAsia="楷体_GB2312" w:hAnsi="楷体" w:hint="eastAsia"/>
          <w:color w:val="222222"/>
          <w:spacing w:val="7"/>
          <w:sz w:val="24"/>
          <w:shd w:val="clear" w:color="auto" w:fill="ffffff"/>
        </w:rPr>
        <w:t>包括法学、政治学、社会学、民族学、马克思主义理论、公安学等6个专业类，共有30个目录内本科专业。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lineRule="auto" w:line="360"/>
        <w:ind w:firstLine="0" w:firstLineChars="0"/>
        <w:jc w:val="center"/>
        <w:textAlignment w:val="auto"/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lineRule="auto" w:line="360"/>
        <w:ind w:firstLine="0" w:firstLineChars="0"/>
        <w:jc w:val="center"/>
        <w:textAlignment w:val="auto"/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</w:pP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表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 xml:space="preserve">9  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武书连2022年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>经济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学排行榜</w:t>
      </w:r>
    </w:p>
    <w:tbl>
      <w:tblPr>
        <w:tblStyle w:val="style105"/>
        <w:tblW w:w="8424" w:type="dxa"/>
        <w:tblInd w:w="9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1"/>
        <w:gridCol w:w="1584"/>
        <w:gridCol w:w="3252"/>
        <w:gridCol w:w="1877"/>
      </w:tblGrid>
      <w:tr>
        <w:trPr>
          <w:trHeight w:val="494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全国位次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/>
                <w:bCs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/>
        <w:trPr>
          <w:trHeight w:val="482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35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中国农业大学</w:t>
            </w:r>
          </w:p>
        </w:tc>
        <w:tc>
          <w:tcPr>
            <w:tcW w:w="187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根据公布顺序推算排名</w:t>
            </w:r>
          </w:p>
        </w:tc>
      </w:tr>
      <w:tr>
        <w:tblPrEx/>
        <w:trPr>
          <w:trHeight w:val="482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南京农业大学</w:t>
            </w:r>
          </w:p>
        </w:tc>
        <w:tc>
          <w:tcPr>
            <w:tcW w:w="18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57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A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西北农林科技大学</w:t>
            </w:r>
          </w:p>
        </w:tc>
        <w:tc>
          <w:tcPr>
            <w:tcW w:w="18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华中农业大学</w:t>
            </w:r>
          </w:p>
        </w:tc>
        <w:tc>
          <w:tcPr>
            <w:tcW w:w="18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113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南京林业大学</w:t>
            </w:r>
          </w:p>
        </w:tc>
        <w:tc>
          <w:tcPr>
            <w:tcW w:w="18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119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B+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华南农业大学</w:t>
            </w:r>
          </w:p>
        </w:tc>
        <w:tc>
          <w:tcPr>
            <w:tcW w:w="18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133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北京林业大学</w:t>
            </w:r>
          </w:p>
        </w:tc>
        <w:tc>
          <w:tcPr>
            <w:tcW w:w="18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2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东北农业大学</w:t>
            </w:r>
          </w:p>
        </w:tc>
        <w:tc>
          <w:tcPr>
            <w:tcW w:w="1877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13" w:hRule="atLeast"/>
        </w:trPr>
        <w:tc>
          <w:tcPr>
            <w:tcW w:w="1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156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  <w:t>B</w:t>
            </w:r>
          </w:p>
        </w:tc>
        <w:tc>
          <w:tcPr>
            <w:tcW w:w="3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Times New Roman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  <w:t>湖南农业大学</w:t>
            </w:r>
          </w:p>
        </w:tc>
        <w:tc>
          <w:tcPr>
            <w:tcW w:w="1877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</w:tbl>
    <w:p>
      <w:pPr>
        <w:pStyle w:val="style0"/>
        <w:spacing w:lineRule="auto" w:line="360"/>
        <w:ind w:firstLine="508" w:firstLineChars="200"/>
        <w:rPr>
          <w:rFonts w:ascii="楷体_GB2312" w:cs="楷体" w:eastAsia="楷体_GB2312" w:hAnsi="楷体" w:hint="eastAsia"/>
          <w:color w:val="222222"/>
          <w:spacing w:val="7"/>
          <w:sz w:val="24"/>
          <w:shd w:val="clear" w:color="auto" w:fill="ffffff"/>
        </w:rPr>
      </w:pPr>
      <w:r>
        <w:rPr>
          <w:rFonts w:ascii="楷体_GB2312" w:cs="Times New Roman" w:eastAsia="楷体_GB2312" w:hAnsi="Times New Roman" w:hint="eastAsia"/>
          <w:color w:val="222222"/>
          <w:spacing w:val="7"/>
          <w:sz w:val="24"/>
          <w:shd w:val="clear" w:color="auto" w:fill="ffffff"/>
        </w:rPr>
        <w:t>注：</w:t>
      </w:r>
      <w:r>
        <w:rPr>
          <w:rFonts w:ascii="楷体_GB2312" w:cs="Times New Roman" w:eastAsia="楷体_GB2312" w:hAnsi="Times New Roman" w:hint="eastAsia"/>
          <w:b/>
          <w:bCs/>
          <w:color w:val="222222"/>
          <w:spacing w:val="7"/>
          <w:sz w:val="24"/>
          <w:shd w:val="clear" w:color="auto" w:fill="ffffff"/>
        </w:rPr>
        <w:t>经济学</w:t>
      </w:r>
      <w:r>
        <w:rPr>
          <w:rFonts w:ascii="楷体_GB2312" w:cs="楷体" w:eastAsia="楷体_GB2312" w:hAnsi="楷体" w:hint="eastAsia"/>
          <w:color w:val="222222"/>
          <w:spacing w:val="7"/>
          <w:sz w:val="24"/>
          <w:shd w:val="clear" w:color="auto" w:fill="ffffff"/>
        </w:rPr>
        <w:t>包括经济学、财政学、金融学、经济与贸易4个专业类，25个目录内本科专业。</w:t>
      </w:r>
    </w:p>
    <w:p>
      <w:pPr>
        <w:pStyle w:val="style0"/>
        <w:keepNext w:val="false"/>
        <w:keepLines w:val="false"/>
        <w:pageBreakBefore w:val="false"/>
        <w:widowControl w:val="false"/>
        <w:kinsoku/>
        <w:wordWrap/>
        <w:overflowPunct/>
        <w:topLinePunct w:val="false"/>
        <w:autoSpaceDE/>
        <w:autoSpaceDN/>
        <w:bidi w:val="false"/>
        <w:adjustRightInd/>
        <w:snapToGrid/>
        <w:spacing w:before="157" w:beforeLines="50" w:lineRule="auto" w:line="360"/>
        <w:ind w:firstLine="0" w:firstLineChars="0"/>
        <w:jc w:val="center"/>
        <w:textAlignment w:val="auto"/>
        <w:rPr>
          <w:rFonts w:ascii="楷体_GB2312" w:cs="楷体" w:eastAsia="楷体_GB2312" w:hAnsi="楷体" w:hint="eastAsia"/>
          <w:color w:val="222222"/>
          <w:spacing w:val="7"/>
          <w:sz w:val="24"/>
          <w:shd w:val="clear" w:color="auto" w:fill="ffffff"/>
        </w:rPr>
      </w:pP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表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  <w:lang w:val="en-US" w:eastAsia="zh-CN"/>
        </w:rPr>
        <w:t>10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</w:rPr>
        <w:t xml:space="preserve">  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武书连2022年</w:t>
      </w:r>
      <w:r>
        <w:rPr>
          <w:rFonts w:ascii="Times New Roman" w:cs="Times New Roman" w:eastAsia="黑体" w:hAnsi="Times New Roman" w:hint="eastAsia"/>
          <w:color w:val="222222"/>
          <w:spacing w:val="7"/>
          <w:sz w:val="28"/>
          <w:szCs w:val="28"/>
          <w:shd w:val="clear" w:color="auto" w:fill="ffffff"/>
          <w:lang w:eastAsia="zh-CN"/>
        </w:rPr>
        <w:t>文</w:t>
      </w:r>
      <w:r>
        <w:rPr>
          <w:rFonts w:ascii="Times New Roman" w:cs="Times New Roman" w:eastAsia="黑体" w:hAnsi="Times New Roman"/>
          <w:color w:val="222222"/>
          <w:spacing w:val="7"/>
          <w:sz w:val="28"/>
          <w:szCs w:val="28"/>
          <w:shd w:val="clear" w:color="auto" w:fill="ffffff"/>
        </w:rPr>
        <w:t>学排行榜</w:t>
      </w:r>
    </w:p>
    <w:tbl>
      <w:tblPr>
        <w:tblStyle w:val="style105"/>
        <w:tblW w:w="8371" w:type="dxa"/>
        <w:tblInd w:w="9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7"/>
        <w:gridCol w:w="1584"/>
        <w:gridCol w:w="3216"/>
        <w:gridCol w:w="1824"/>
      </w:tblGrid>
      <w:tr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全国位次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等级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</w:rPr>
              <w:t>高校名称</w:t>
            </w:r>
          </w:p>
        </w:tc>
        <w:tc>
          <w:tcPr>
            <w:tcW w:w="18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  <w:r>
              <w:rPr>
                <w:rFonts w:ascii="黑体" w:cs="宋体" w:eastAsia="黑体" w:hAnsi="宋体" w:hint="eastAsia"/>
                <w:bCs/>
                <w:color w:val="000000"/>
                <w:kern w:val="0"/>
                <w:sz w:val="24"/>
                <w:lang w:eastAsia="zh-CN"/>
              </w:rPr>
              <w:t>备注</w:t>
            </w:r>
          </w:p>
        </w:tc>
      </w:tr>
      <w:tr>
        <w:tblPrEx/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102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B+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南京林业大学</w:t>
            </w:r>
          </w:p>
        </w:tc>
        <w:tc>
          <w:tcPr>
            <w:tcW w:w="182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  <w:t>根据公布顺序推算排名</w:t>
            </w:r>
          </w:p>
        </w:tc>
      </w:tr>
      <w:tr>
        <w:tblPrEx/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132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B+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华南农业大学</w:t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239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C+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华中农业大学</w:t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258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C+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江西农业大学</w:t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275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C+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南京农业大学</w:t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317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北京林业大学</w:t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405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C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东北林业大学</w:t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432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D+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西北农林科技大学</w:t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487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448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D+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四川农业大学</w:t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宋体" w:cs="宋体" w:eastAsia="宋体" w:hAnsi="宋体" w:hint="eastAsia"/>
                <w:color w:val="000000"/>
                <w:kern w:val="0"/>
                <w:sz w:val="24"/>
                <w:szCs w:val="24"/>
                <w:lang w:val="en-US" w:bidi="ar-SA" w:eastAsia="zh-CN"/>
              </w:rPr>
            </w:pPr>
          </w:p>
        </w:tc>
      </w:tr>
      <w:tr>
        <w:tblPrEx/>
        <w:trPr>
          <w:trHeight w:val="528" w:hRule="atLeast"/>
        </w:trPr>
        <w:tc>
          <w:tcPr>
            <w:tcW w:w="1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468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D</w:t>
            </w:r>
          </w:p>
        </w:tc>
        <w:tc>
          <w:tcPr>
            <w:tcW w:w="32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</w:rPr>
            </w:pPr>
            <w:r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  <w:t>中国农业大学</w:t>
            </w:r>
          </w:p>
        </w:tc>
        <w:tc>
          <w:tcPr>
            <w:tcW w:w="1824" w:type="dxa"/>
            <w:vMerge w:val="continue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>
            <w:pPr>
              <w:pStyle w:val="style0"/>
              <w:widowControl/>
              <w:jc w:val="center"/>
              <w:textAlignment w:val="center"/>
              <w:rPr>
                <w:rFonts w:ascii="Times New Roman" w:cs="Times New Roman" w:eastAsia="宋体" w:hAnsi="宋体" w:hint="eastAsia"/>
                <w:color w:val="000000"/>
                <w:kern w:val="0"/>
                <w:sz w:val="24"/>
                <w:lang w:val="en-US" w:eastAsia="zh-CN"/>
              </w:rPr>
            </w:pPr>
          </w:p>
        </w:tc>
      </w:tr>
    </w:tbl>
    <w:p>
      <w:pPr>
        <w:pStyle w:val="style0"/>
        <w:spacing w:lineRule="auto" w:line="360"/>
        <w:ind w:firstLine="508" w:firstLineChars="200"/>
        <w:rPr>
          <w:rFonts w:ascii="楷体_GB2312" w:cs="楷体" w:eastAsia="楷体_GB2312" w:hAnsi="楷体" w:hint="eastAsia"/>
          <w:color w:val="222222"/>
          <w:spacing w:val="7"/>
          <w:sz w:val="24"/>
          <w:shd w:val="clear" w:color="auto" w:fill="ffffff"/>
          <w:lang w:eastAsia="zh-CN"/>
        </w:rPr>
      </w:pPr>
      <w:r>
        <w:rPr>
          <w:rFonts w:ascii="楷体_GB2312" w:cs="楷体" w:eastAsia="楷体_GB2312" w:hAnsi="楷体" w:hint="eastAsia"/>
          <w:color w:val="222222"/>
          <w:spacing w:val="7"/>
          <w:sz w:val="24"/>
          <w:shd w:val="clear" w:color="auto" w:fill="ffffff"/>
          <w:lang w:eastAsia="zh-CN"/>
        </w:rPr>
        <w:t>注：</w:t>
      </w:r>
      <w:r>
        <w:rPr>
          <w:rFonts w:ascii="楷体_GB2312" w:cs="楷体" w:eastAsia="楷体_GB2312" w:hAnsi="楷体" w:hint="eastAsia"/>
          <w:b/>
          <w:bCs/>
          <w:color w:val="222222"/>
          <w:spacing w:val="7"/>
          <w:sz w:val="24"/>
          <w:shd w:val="clear" w:color="auto" w:fill="ffffff"/>
          <w:lang w:eastAsia="zh-CN"/>
        </w:rPr>
        <w:t>文学</w:t>
      </w:r>
      <w:r>
        <w:rPr>
          <w:rFonts w:ascii="楷体_GB2312" w:cs="楷体" w:eastAsia="楷体_GB2312" w:hAnsi="楷体" w:hint="eastAsia"/>
          <w:color w:val="222222"/>
          <w:spacing w:val="7"/>
          <w:sz w:val="24"/>
          <w:shd w:val="clear" w:color="auto" w:fill="ffffff"/>
          <w:lang w:eastAsia="zh-CN"/>
        </w:rPr>
        <w:t>包括中国语言文学、外国语言文学、新闻传播学等3个专业类，共有115个目录内本科专业。</w:t>
      </w:r>
    </w:p>
    <w:sectPr>
      <w:footerReference w:type="default" r:id="rId2"/>
      <w:pgSz w:w="11906" w:h="16838" w:orient="portrait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4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宋体"/>
    <w:panose1 w:val="020106000300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0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002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007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Calibri"/>
    <w:panose1 w:val="020f0502020002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方正小标宋简体"/>
    <w:panose1 w:val="02000000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_GB2312"/>
    <w:panose1 w:val="02010609030001010101"/>
    <w:charset w:val="86"/>
    <w:family w:val="modern"/>
    <w:pitch w:val="default"/>
    <w:sig w:usb0="00000001" w:usb1="080E0000" w:usb2="00000000" w:usb3="00000000" w:csb0="00040000" w:csb1="00000000"/>
  </w:font>
  <w:font w:name="楷体">
    <w:altName w:val="楷体"/>
    <w:panose1 w:val="02010609060001010101"/>
    <w:charset w:val="86"/>
    <w:family w:val="auto"/>
    <w:pitch w:val="default"/>
    <w:sig w:usb0="800002BF" w:usb1="38CF7CFA" w:usb2="00000016" w:usb3="00000000" w:csb0="00040001" w:csb1="00000000"/>
  </w:font>
  <w:font w:name="微软雅黑">
    <w:altName w:val="微软雅黑"/>
    <w:panose1 w:val="020b0503020002020204"/>
    <w:charset w:val="86"/>
    <w:family w:val="auto"/>
    <w:pitch w:val="default"/>
    <w:sig w:usb0="80000287" w:usb1="280F3C52" w:usb2="00000016" w:usb3="00000000" w:csb0="0004001F" w:csb1="00000000"/>
  </w:font>
  <w:font w:name="Tahoma">
    <w:altName w:val="Tahoma"/>
    <w:panose1 w:val="020b0604030005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xmlns:wpsCustomData="http://www.wps.cn/officeDocument/2013/wpsCustomData" mc:Ignorable="w14 wp14">
  <w:p>
    <w:pPr>
      <w:pStyle w:val="style32"/>
      <w:jc w:val="center"/>
      <w:rPr/>
    </w:pPr>
    <w:r>
      <w:rPr/>
      <w:fldChar w:fldCharType="begin"/>
    </w:r>
    <w:r>
      <w:instrText xml:space="preserve"> PAGE   \* MERGEFORMAT </w:instrText>
    </w:r>
    <w:r>
      <w:rPr/>
      <w:fldChar w:fldCharType="separate"/>
    </w:r>
    <w:r>
      <w:rPr>
        <w:lang w:val="zh-CN"/>
      </w:rPr>
      <w:t>6</w:t>
    </w:r>
    <w:r>
      <w:rPr>
        <w:lang w:val="zh-CN"/>
      </w:rPr>
      <w:fldChar w:fldCharType="end"/>
    </w:r>
  </w:p>
  <w:p>
    <w:pPr>
      <w:pStyle w:val="style32"/>
      <w:rPr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doNotDisplayPageBoundaries/>
  <w:embedTrueTypeFonts/>
  <w:saveSubsetFonts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efaultTabStop w:val="420"/>
  <w:drawingGridVerticalSpacing w:val="156"/>
  <w:displayHorizontalDrawingGridEvery w:val="1"/>
  <w:displayVerticalDrawingGridEvery w:val="1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Times New Roman" w:cs="Times New Roman" w:eastAsia="宋体" w:hAnsi="Times New Roman"/>
      </w:rPr>
    </w:rPrDefault>
    <w:pPrDefault>
      <w:pPr/>
    </w:pPrDefault>
  </w:docDefaults>
  <w:style w:type="paragraph" w:default="1" w:styleId="style0">
    <w:name w:val="Normal"/>
    <w:next w:val="style0"/>
    <w:qFormat/>
    <w:uiPriority w:val="0"/>
    <w:pPr>
      <w:widowControl w:val="false"/>
      <w:jc w:val="both"/>
    </w:pPr>
    <w:rPr>
      <w:rFonts w:ascii="Calibri" w:cs="宋体" w:eastAsia="宋体" w:hAnsi="Calibri"/>
      <w:kern w:val="2"/>
      <w:sz w:val="21"/>
      <w:szCs w:val="24"/>
      <w:lang w:val="en-US" w:bidi="ar-SA" w:eastAsia="zh-CN"/>
    </w:rPr>
  </w:style>
  <w:style w:type="character" w:default="1" w:styleId="style65">
    <w:name w:val="Default Paragraph Font"/>
    <w:next w:val="style65"/>
    <w:uiPriority w:val="1"/>
  </w:style>
  <w:style w:type="table" w:default="1" w:styleId="style105">
    <w:name w:val="Normal Table"/>
    <w:next w:val="style105"/>
    <w:qFormat/>
    <w:uiPriority w:val="99"/>
    <w:pPr/>
    <w:rPr/>
    <w:tblPr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32">
    <w:name w:val="footer"/>
    <w:basedOn w:val="style0"/>
    <w:next w:val="style32"/>
    <w:link w:val="style4100"/>
    <w:qFormat/>
    <w:uiPriority w:val="99"/>
    <w:pPr>
      <w:tabs>
        <w:tab w:val="center" w:leader="none" w:pos="4153"/>
        <w:tab w:val="right" w:leader="none" w:pos="8306"/>
      </w:tabs>
      <w:snapToGrid w:val="false"/>
      <w:jc w:val="left"/>
    </w:pPr>
    <w:rPr>
      <w:sz w:val="18"/>
      <w:szCs w:val="18"/>
    </w:rPr>
  </w:style>
  <w:style w:type="paragraph" w:styleId="style31">
    <w:name w:val="header"/>
    <w:basedOn w:val="style0"/>
    <w:next w:val="style31"/>
    <w:link w:val="style4099"/>
    <w:qFormat/>
    <w:uiPriority w:val="0"/>
    <w:pPr>
      <w:pBdr>
        <w:bottom w:val="single" w:sz="6" w:space="1" w:color="auto"/>
      </w:pBdr>
      <w:tabs>
        <w:tab w:val="center" w:leader="none" w:pos="4153"/>
        <w:tab w:val="right" w:leader="none" w:pos="8306"/>
      </w:tabs>
      <w:snapToGrid w:val="false"/>
      <w:jc w:val="center"/>
    </w:pPr>
    <w:rPr>
      <w:sz w:val="18"/>
      <w:szCs w:val="18"/>
    </w:rPr>
  </w:style>
  <w:style w:type="character" w:customStyle="1" w:styleId="style4097">
    <w:name w:val="font01"/>
    <w:basedOn w:val="style65"/>
    <w:next w:val="style4097"/>
    <w:qFormat/>
    <w:uiPriority w:val="0"/>
    <w:rPr>
      <w:rFonts w:ascii="宋体" w:cs="宋体" w:eastAsia="宋体" w:hAnsi="宋体" w:hint="eastAsia"/>
      <w:color w:val="000000"/>
      <w:sz w:val="24"/>
      <w:szCs w:val="24"/>
      <w:u w:val="none"/>
    </w:rPr>
  </w:style>
  <w:style w:type="character" w:customStyle="1" w:styleId="style4098">
    <w:name w:val="font21"/>
    <w:basedOn w:val="style65"/>
    <w:next w:val="style4098"/>
    <w:qFormat/>
    <w:uiPriority w:val="0"/>
    <w:rPr>
      <w:rFonts w:ascii="Arial" w:cs="Arial" w:hAnsi="Arial" w:hint="default"/>
      <w:color w:val="000000"/>
      <w:sz w:val="24"/>
      <w:szCs w:val="24"/>
      <w:u w:val="none"/>
    </w:rPr>
  </w:style>
  <w:style w:type="character" w:customStyle="1" w:styleId="style4099">
    <w:name w:val="页眉 Char"/>
    <w:basedOn w:val="style65"/>
    <w:next w:val="style4099"/>
    <w:link w:val="style31"/>
    <w:qFormat/>
    <w:uiPriority w:val="0"/>
    <w:rPr>
      <w:rFonts w:ascii="Calibri" w:cs="宋体" w:eastAsia="宋体" w:hAnsi="Calibri"/>
      <w:kern w:val="2"/>
      <w:sz w:val="18"/>
      <w:szCs w:val="18"/>
    </w:rPr>
  </w:style>
  <w:style w:type="character" w:customStyle="1" w:styleId="style4100">
    <w:name w:val="页脚 Char"/>
    <w:basedOn w:val="style65"/>
    <w:next w:val="style4100"/>
    <w:link w:val="style32"/>
    <w:qFormat/>
    <w:uiPriority w:val="99"/>
    <w:rPr>
      <w:rFonts w:ascii="Calibri" w:cs="宋体" w:eastAsia="宋体" w:hAnsi="Calibri"/>
      <w:kern w:val="2"/>
      <w:sz w:val="18"/>
      <w:szCs w:val="18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footer" Target="footer1.xml"/><Relationship Id="rId3" Type="http://schemas.openxmlformats.org/officeDocument/2006/relationships/styles" Target="styles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Words>1854</Words>
  <Pages>6</Pages>
  <Characters>2178</Characters>
  <Application>WPS Office</Application>
  <DocSecurity>0</DocSecurity>
  <Paragraphs>593</Paragraphs>
  <ScaleCrop>false</ScaleCrop>
  <Company>Lenovo (Beijing) Limited</Company>
  <LinksUpToDate>false</LinksUpToDate>
  <CharactersWithSpaces>2208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2014-10-29T12:08:00Z</dcterms:created>
  <dc:creator>zwj</dc:creator>
  <lastModifiedBy>EML-AL00</lastModifiedBy>
  <lastPrinted>2022-06-02T07:48:44Z</lastPrinted>
  <dcterms:modified xsi:type="dcterms:W3CDTF">2022-06-02T08:14:41Z</dcterms:modified>
  <revision>6</revision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2052-11.1.0.11566</vt:lpwstr>
  </property>
  <property fmtid="{D5CDD505-2E9C-101B-9397-08002B2CF9AE}" pid="3" name="ICV">
    <vt:lpwstr>01D051C128CA44F6AB1DC7A0F99D8368</vt:lpwstr>
  </property>
</Properties>
</file>